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06:00:41</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Document-Level Governance Elements</w:t>
      </w:r>
    </w:p>
    <w:p>
      <w:pPr>
        <w:pStyle w:val="Heading3"/>
      </w:pPr>
      <w:r>
        <w:t>3.6.1 Document Governance</w:t>
      </w:r>
    </w:p>
    <w:p>
      <w:pPr>
        <w:spacing w:after="120"/>
      </w:pPr>
      <w:r>
        <w:t>Rules to keep this report controlled, auditable, and maintainable over time.</w:t>
      </w:r>
    </w:p>
    <w:p>
      <w:pPr>
        <w:pStyle w:val="Heading3"/>
      </w:pPr>
      <w:r>
        <w:t>3.6.2 Minimum Organizational Evidence</w:t>
      </w:r>
    </w:p>
    <w:p>
      <w:pPr>
        <w:spacing w:after="120"/>
      </w:pPr>
      <w:r>
        <w:t>Minimum organizational evidences required to sustain governance adoption and verification.</w:t>
      </w:r>
    </w:p>
    <w:p>
      <w:pPr>
        <w:pStyle w:val="Heading3"/>
      </w:pPr>
      <w:r>
        <w:t>3.6.3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