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2026-03-03 12:35:03</w:t>
      </w:r>
    </w:p>
    <w:p/>
    <w:p>
      <w:pPr>
        <w:spacing w:after="120"/>
      </w:pPr>
      <w:r>
        <w:t>This report represents the operational application of DOMMx through a structured domain-based assessment.</w:t>
        <w:br/>
        <w:br/>
        <w:t>For each evaluated domain, the report presents the current maturity level and defines the structured set of actions required to evolve to the next level.</w:t>
        <w:br/>
        <w:br/>
        <w:t>The content is prescriptive and focused on the construction and strengthening of data governance artifacts, and should be used as a technical foundation to document, institutionalize, and enhance governance practices proportionally to the identified maturity level.</w:t>
        <w:br/>
      </w:r>
    </w:p>
    <w:p>
      <w:r>
        <w:br w:type="page"/>
      </w:r>
    </w:p>
    <w:p>
      <w:r>
        <w:rPr>
          <w:b/>
          <w:sz w:val="36"/>
        </w:rPr>
        <w:t>How to Use This Report</w:t>
      </w:r>
    </w:p>
    <w:p/>
    <w:p>
      <w:pPr>
        <w:spacing w:after="120"/>
      </w:pPr>
      <w:r>
        <w:t>This report should be used as a technical guide for the structured evolution of data governance by domain.</w:t>
        <w:br/>
        <w:br/>
        <w:t>Based on the maturity level identified in the assessment, DOMMx activates prescriptive action packages that define what must be built, formalized, or strengthened to enable progression to the next maturity stage.</w:t>
        <w:br/>
        <w:br/>
        <w:t>The practical application of this report involves:</w:t>
        <w:br/>
        <w:br/>
        <w:t>1. Building formal governance artifacts when they do not exist or are insufficient</w:t>
        <w:br/>
        <w:t>2. Standardizing and documenting practices when partially structured</w:t>
        <w:br/>
        <w:t>3. Integrating and institutionalizing mechanisms when already defined</w:t>
        <w:br/>
        <w:t>4. Preparing the domain for measurable management in subsequent cycles</w:t>
        <w:br/>
        <w:br/>
        <w:t>Each domain section should be converted into formal documentation adapted to the specific organizational context, maintaining the proposed structure while contextualizing the technical content to the evaluated domain.</w:t>
        <w:br/>
        <w:br/>
        <w:t>This report is not merely descriptive. Its purpose is to drive structured action and maturity progression.</w:t>
        <w:br/>
      </w:r>
    </w:p>
    <w:p>
      <w:r>
        <w:br w:type="page"/>
      </w:r>
    </w:p>
    <w:p>
      <w:r>
        <w:rPr>
          <w:b/>
          <w:sz w:val="40"/>
        </w:rPr>
        <w:t>Table of Contents</w:t>
      </w:r>
    </w:p>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1.3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
      <w:r>
        <w:rPr>
          <w:b/>
        </w:rPr>
        <w:t xml:space="preserve">⚠ Maturity dispersion detected within this domain. </w:t>
      </w:r>
      <w:r>
        <w:t>Significant variance between question scores suggests structural inconsistency or uneven implementation maturity across components.</w:t>
      </w:r>
    </w:p>
    <w:p/>
    <w:p>
      <w:pPr>
        <w:pStyle w:val="Heading2"/>
      </w:pPr>
      <w:r>
        <w:t>1.4 DMD · Data Modelling and Design</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3"/>
      </w:pPr>
      <w:r>
        <w:t>DMD · Data Modelling and Design</w:t>
      </w:r>
    </w:p>
    <w:p>
      <w:pPr>
        <w:spacing w:after="120"/>
      </w:pPr>
      <w:r>
        <w:t>Declared dependencies:</w:t>
      </w:r>
    </w:p>
    <w:p>
      <w:pPr>
        <w:pStyle w:val="ListBullet"/>
      </w:pPr>
      <w:r>
        <w:t>- DG · Data Governance (grade 3 · Defined)</w:t>
      </w:r>
    </w:p>
    <w:p>
      <w:pPr>
        <w:pStyle w:val="ListBullet"/>
      </w:pPr>
      <w:r>
        <w:t>- DA · Data Architecture (grade 3 · Defined)</w:t>
      </w:r>
    </w:p>
    <w:p>
      <w:pPr>
        <w:pStyle w:val="Heading2"/>
      </w:pPr>
      <w:r>
        <w:t>2.2 Detected Dependency Breaks and Remediation Guidance</w:t>
      </w:r>
    </w:p>
    <w:p>
      <w:pPr>
        <w:spacing w:after="120"/>
      </w:pPr>
      <w:r>
        <w:t>No dependency inconsistency records were found for the evaluated domains.</w:t>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ListBullet"/>
      </w:pPr>
      <w:r>
        <w:t>DMD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DMD · Data Modelling and Design</w:t>
      </w:r>
    </w:p>
    <w:p>
      <w:pPr>
        <w:pStyle w:val="Heading3"/>
      </w:pPr>
      <w:r>
        <w:t>3.6.1 Contextualization of the Assessed Domain</w:t>
      </w:r>
    </w:p>
    <w:p>
      <w:r>
        <w:rPr>
          <w:b/>
        </w:rPr>
        <w:t xml:space="preserve">Description: </w:t>
      </w:r>
      <w:r>
        <w:t>This domain examines conceptual, logical, and physical modelling practices, the standards that govern their creation and maintenance, and the degree to which structural definitions align with business semantics. Modelling provides the structural foundation for Data Governance by establishing shared meaning, coherent data structures, and traceable relationships across the organization. This aligns with DAMA’s classification of modelling as a core structural function that enables consistency, interoperability, and reliable data lifecycle management (DAMA International, 2017).</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Medium-sized enterprise with a focus on data-driven decision-making.</w:t>
      </w:r>
    </w:p>
    <w:p>
      <w:pPr>
        <w:spacing w:after="120"/>
      </w:pPr>
      <w:r>
        <w:t>Triggered Action Code: DMD-04</w:t>
      </w:r>
    </w:p>
    <w:p>
      <w:pPr>
        <w:pStyle w:val="Heading3"/>
      </w:pPr>
      <w:r>
        <w:t>3.6.2 Prescriptive Procedure Pack</w:t>
      </w:r>
    </w:p>
    <w:p>
      <w:pPr>
        <w:spacing w:after="120"/>
      </w:pPr>
      <w:r>
        <w:t>The prescriptive procedure package consolidates domain-specific actions and operational  mechanisms required to advance maturity to the next level.</w:t>
        <w:br/>
      </w:r>
    </w:p>
    <w:p>
      <w:pPr>
        <w:pStyle w:val="Heading4"/>
      </w:pPr>
      <w:r>
        <w:t>3.6.2.1 Action Definition</w:t>
      </w:r>
    </w:p>
    <w:p>
      <w:r>
        <w:rPr>
          <w:b/>
        </w:rPr>
        <w:t xml:space="preserve">Purpose: </w:t>
      </w:r>
      <w:r>
        <w:t>To clarify the specific action being addressed in the document.</w:t>
      </w:r>
    </w:p>
    <w:p>
      <w:r>
        <w:rPr>
          <w:b/>
        </w:rPr>
        <w:t xml:space="preserve">Expected content: </w:t>
      </w:r>
      <w:r>
        <w:t>Action code, title, objective, and scope boundaries.</w:t>
      </w:r>
    </w:p>
    <w:p>
      <w:pPr>
        <w:pStyle w:val="Heading5"/>
      </w:pPr>
      <w:r>
        <w:t>Sample elements</w:t>
      </w:r>
    </w:p>
    <w:p>
      <w:pPr>
        <w:pStyle w:val="Heading5"/>
      </w:pPr>
      <w:r>
        <w:t>Action Code and Title: DMD-04 - Embed modelling governance into organizational and domain routines</w:t>
      </w:r>
    </w:p>
    <w:p>
      <w:pPr>
        <w:pStyle w:val="Heading5"/>
      </w:pPr>
      <w:r>
        <w:t>Action Objective: To integrate structured modelling checkpoints into workflows.</w:t>
      </w:r>
    </w:p>
    <w:p>
      <w:pPr>
        <w:pStyle w:val="Heading5"/>
      </w:pPr>
      <w:r>
        <w:t>Action Scope Boundaries: Applicable to all data-related workflows within the DMD.</w:t>
      </w:r>
    </w:p>
    <w:p>
      <w:pPr>
        <w:pStyle w:val="Heading4"/>
      </w:pPr>
      <w:r>
        <w:t>3.6.2.2 Procedure Definition</w:t>
      </w:r>
    </w:p>
    <w:p>
      <w:r>
        <w:rPr>
          <w:b/>
        </w:rPr>
        <w:t xml:space="preserve">Purpose: </w:t>
      </w:r>
      <w:r>
        <w:t>To detail the procedural steps necessary for implementation.</w:t>
      </w:r>
    </w:p>
    <w:p>
      <w:r>
        <w:rPr>
          <w:b/>
        </w:rPr>
        <w:t xml:space="preserve">Expected content: </w:t>
      </w:r>
      <w:r>
        <w:t>Objective, prerequisites, deliverables, and step-by-step execution structure.</w:t>
      </w:r>
    </w:p>
    <w:p>
      <w:pPr>
        <w:pStyle w:val="Heading5"/>
      </w:pPr>
      <w:r>
        <w:t>Sample elements</w:t>
      </w:r>
    </w:p>
    <w:p>
      <w:pPr>
        <w:pStyle w:val="Heading5"/>
      </w:pPr>
      <w:r>
        <w:t>Procedure Objective: To ensure compliance with modelling governance through structured checkpoints.</w:t>
      </w:r>
    </w:p>
    <w:p>
      <w:pPr>
        <w:pStyle w:val="Heading5"/>
      </w:pPr>
      <w:r>
        <w:t>Prerequisites: Requires DMD-03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modelling checkpoints into domain workflows</w:t>
      </w:r>
    </w:p>
    <w:p>
      <w:pPr>
        <w:spacing w:before="120" w:after="120"/>
      </w:pPr>
      <w:r>
        <w:rPr>
          <w:b/>
        </w:rPr>
        <w:t xml:space="preserve">Prerequisite: </w:t>
      </w:r>
      <w:r>
        <w:t>Requires DMD-03 roles and standards</w:t>
      </w:r>
    </w:p>
    <w:p>
      <w:pPr>
        <w:spacing w:before="120" w:after="120"/>
      </w:pPr>
      <w:r>
        <w:rPr>
          <w:b/>
        </w:rPr>
        <w:t xml:space="preserve">Deliverable: </w:t>
      </w:r>
      <w:r>
        <w:t>Updated workflow templates</w:t>
      </w:r>
    </w:p>
    <w:p>
      <w:r>
        <w:rPr>
          <w:b/>
        </w:rPr>
        <w:t>Recommendations:</w:t>
      </w:r>
    </w:p>
    <w:p>
      <w:pPr>
        <w:pStyle w:val="ListBullet"/>
      </w:pPr>
      <w:r>
        <w:t>Embed modelling checkpoints using DAMA guidance for integrating modelling rules into data creation, transformation, and validation activities (Chapter 3.3, p. 58–59).</w:t>
      </w:r>
    </w:p>
    <w:p>
      <w:pPr>
        <w:pStyle w:val="ListBullet"/>
      </w:pPr>
      <w:r>
        <w:t>Ensure checkpoints reflect DAMA lifecycle expectations for definition, approval, publication, and retirement (Chapter 4.3, p. 92).</w:t>
      </w:r>
    </w:p>
    <w:p>
      <w:pPr>
        <w:pStyle w:val="ListBullet"/>
      </w:pPr>
      <w:r>
        <w:t>Validate that checkpoints incorporate semantic and metadata rules described by DAMA for modelling functions (Chapter 10, p. 282–284).</w:t>
      </w:r>
    </w:p>
    <w:p>
      <w:pPr>
        <w:pStyle w:val="ListBullet"/>
      </w:pPr>
      <w:r>
        <w:t>Confirm that assigned stewards perform modelling oversight according to DAMA stewardship guidelines (Chapter 4, p. 86–89).</w:t>
      </w:r>
    </w:p>
    <w:p>
      <w:r>
        <w:rPr>
          <w:b/>
        </w:rPr>
        <w:t>Notes:</w:t>
      </w:r>
    </w:p>
    <w:p>
      <w:pPr>
        <w:pStyle w:val="ListBullet"/>
      </w:pPr>
      <w:r>
        <w:t>Use DCAM workflow alignment guidance to ensure semantic controls are applied consistently across processes.</w:t>
      </w:r>
    </w:p>
    <w:p>
      <w:pPr>
        <w:spacing w:before="240"/>
      </w:pPr>
    </w:p>
    <w:p>
      <w:pPr>
        <w:spacing w:before="120" w:after="120"/>
      </w:pPr>
      <w:r>
        <w:rPr>
          <w:b/>
        </w:rPr>
        <w:t xml:space="preserve">Procedure number: </w:t>
      </w:r>
      <w:r>
        <w:t>2</w:t>
      </w:r>
    </w:p>
    <w:p>
      <w:pPr>
        <w:spacing w:before="120" w:after="120"/>
      </w:pPr>
      <w:r>
        <w:rPr>
          <w:b/>
        </w:rPr>
        <w:t xml:space="preserve">Name: </w:t>
      </w:r>
      <w:r>
        <w:t>Integrate modelling criteria into system design and integration workflows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using DAMA’s modelling and structural expectations that define conceptual and logical alignment across systems (Chapter 10, p. 282).</w:t>
      </w:r>
    </w:p>
    <w:p>
      <w:pPr>
        <w:pStyle w:val="ListBullet"/>
      </w:pPr>
      <w:r>
        <w:t>Ensure integration decisions reflect DAMA metadata rules for naming, definition, and lineage (Chapter 9, p. 236).</w:t>
      </w:r>
    </w:p>
    <w:p>
      <w:pPr>
        <w:pStyle w:val="ListBullet"/>
      </w:pPr>
      <w:r>
        <w:t>Validate lifecycle alignment following DAMA stewardship checkpoints such as definition, approval, and publication (Chapter 4.3, p. 92).</w:t>
      </w:r>
    </w:p>
    <w:p>
      <w:pPr>
        <w:pStyle w:val="ListBullet"/>
      </w:pPr>
      <w:r>
        <w:t>Confirm that business meaning is preserved according to DAMA semantic coherence principles (Chapter 3.3, p. 58).</w:t>
      </w:r>
    </w:p>
    <w:p>
      <w:r>
        <w:rPr>
          <w:b/>
        </w:rPr>
        <w:t>Notes:</w:t>
      </w:r>
    </w:p>
    <w:p>
      <w:pPr>
        <w:pStyle w:val="ListBullet"/>
      </w:pPr>
      <w:r>
        <w:t>Apply CMMI design verification methods to strengthen semantic consistency across system components.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modelling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using DAMA lifecycle guidance for modelling and data definition governance (Chapter 4.3, p. 92).</w:t>
      </w:r>
    </w:p>
    <w:p>
      <w:pPr>
        <w:pStyle w:val="ListBullet"/>
      </w:pPr>
      <w:r>
        <w:t>Ensure alignment with DAMA metadata structures and semantic rules (Chapter 10, p. 282–284).</w:t>
      </w:r>
    </w:p>
    <w:p>
      <w:pPr>
        <w:pStyle w:val="ListBullet"/>
      </w:pPr>
      <w:r>
        <w:t>Confirm ownership and stewardship responsibilities are clearly expressed according to DAMA governance roles (Chapter 3.2, p. 55–57).</w:t>
      </w:r>
    </w:p>
    <w:p>
      <w:pPr>
        <w:pStyle w:val="ListBullet"/>
      </w:pPr>
      <w:r>
        <w:t>Validate lifecycle stages based on DAMA requirements for creation, transformation, and retirement of data structures (Chapters 9 to 11).</w:t>
      </w:r>
    </w:p>
    <w:p>
      <w:r>
        <w:rPr>
          <w:b/>
        </w:rPr>
        <w:t>Notes:</w:t>
      </w:r>
    </w:p>
    <w:p>
      <w:pPr>
        <w:pStyle w:val="ListBullet"/>
      </w:pPr>
      <w:r>
        <w:t>Use DCAM lifecycle capability criteria to improve modelling integration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modelling checks at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modelling controls</w:t>
      </w:r>
    </w:p>
    <w:p>
      <w:r>
        <w:rPr>
          <w:b/>
        </w:rPr>
        <w:t>Recommendations:</w:t>
      </w:r>
    </w:p>
    <w:p>
      <w:pPr>
        <w:pStyle w:val="ListBullet"/>
      </w:pPr>
      <w:r>
        <w:t>Apply checks according to DAMA modelling and governance expectations, which require validation of structure, relationships, and meaning prior to approval (Chapter 10, p. 282).</w:t>
      </w:r>
    </w:p>
    <w:p>
      <w:pPr>
        <w:pStyle w:val="ListBullet"/>
      </w:pPr>
      <w:r>
        <w:t>Validate against DAMA metadata and semantic consistency expectations (Chapter 9, p. 236).</w:t>
      </w:r>
    </w:p>
    <w:p>
      <w:pPr>
        <w:pStyle w:val="ListBullet"/>
      </w:pPr>
      <w:r>
        <w:t>Ensure decision points enforce stewardship oversight and escalation when needed as defined by DAMA (Chapter 3.4, p. 60).</w:t>
      </w:r>
    </w:p>
    <w:p>
      <w:pPr>
        <w:pStyle w:val="ListBullet"/>
      </w:pPr>
      <w:r>
        <w:t>Confirm lifecycle controls are respected following DAMA modelling checkpoints (Chapter 4.3, p. 92).</w:t>
      </w:r>
    </w:p>
    <w:p>
      <w:r>
        <w:rPr>
          <w:b/>
        </w:rPr>
        <w:t>Notes:</w:t>
      </w:r>
    </w:p>
    <w:p>
      <w:pPr>
        <w:pStyle w:val="ListBullet"/>
      </w:pPr>
      <w:r>
        <w:t>Use CMMI verification logic to improve repeatability of modelling decision validation.</w:t>
      </w:r>
    </w:p>
    <w:p>
      <w:pPr>
        <w:spacing w:before="240"/>
      </w:pPr>
    </w:p>
    <w:p>
      <w:pPr>
        <w:spacing w:before="120" w:after="120"/>
      </w:pPr>
      <w:r>
        <w:rPr>
          <w:b/>
        </w:rPr>
        <w:t xml:space="preserve">Procedure number: </w:t>
      </w:r>
      <w:r>
        <w:t>5</w:t>
      </w:r>
    </w:p>
    <w:p>
      <w:pPr>
        <w:spacing w:before="120" w:after="120"/>
      </w:pPr>
      <w:r>
        <w:rPr>
          <w:b/>
        </w:rPr>
        <w:t xml:space="preserve">Name: </w:t>
      </w:r>
      <w:r>
        <w:t>Track modelling adherence across domains</w:t>
      </w:r>
    </w:p>
    <w:p>
      <w:pPr>
        <w:spacing w:before="120" w:after="120"/>
      </w:pPr>
      <w:r>
        <w:rPr>
          <w:b/>
        </w:rPr>
        <w:t xml:space="preserve">Prerequisite: </w:t>
      </w:r>
      <w:r>
        <w:t>Requires monitoring routines</w:t>
      </w:r>
    </w:p>
    <w:p>
      <w:pPr>
        <w:spacing w:before="120" w:after="120"/>
      </w:pPr>
      <w:r>
        <w:rPr>
          <w:b/>
        </w:rPr>
        <w:t xml:space="preserve">Deliverable: </w:t>
      </w:r>
      <w:r>
        <w:t>Modelling compliance register</w:t>
      </w:r>
    </w:p>
    <w:p>
      <w:r>
        <w:rPr>
          <w:b/>
        </w:rPr>
        <w:t>Recommendations:</w:t>
      </w:r>
    </w:p>
    <w:p>
      <w:pPr>
        <w:pStyle w:val="ListBullet"/>
      </w:pPr>
      <w:r>
        <w:t>Track adherence using DAMA guidance for governance monitoring across modelling processes (Chapter 3.6, p. 64).</w:t>
      </w:r>
    </w:p>
    <w:p>
      <w:pPr>
        <w:pStyle w:val="ListBullet"/>
      </w:pPr>
      <w:r>
        <w:t>Ensure tracking includes metadata and semantic alignment checks (Chapter 10, p. 282–284).</w:t>
      </w:r>
    </w:p>
    <w:p>
      <w:pPr>
        <w:pStyle w:val="ListBullet"/>
      </w:pPr>
      <w:r>
        <w:t>Validate that deviations are recorded and escalated following DAMA governance escalation rules (Chapter 3.4, p. 60).</w:t>
      </w:r>
    </w:p>
    <w:p>
      <w:pPr>
        <w:pStyle w:val="ListBullet"/>
      </w:pPr>
      <w:r>
        <w:t>Confirm involvement of stewards and owners consistent with DAMA stewardship obligations (Chapter 4, p. 86–87).</w:t>
      </w:r>
    </w:p>
    <w:p>
      <w:r>
        <w:rPr>
          <w:b/>
        </w:rPr>
        <w:t>Notes:</w:t>
      </w:r>
    </w:p>
    <w:p>
      <w:pPr>
        <w:pStyle w:val="ListBullet"/>
      </w:pPr>
      <w:r>
        <w:t>Apply DCAM modelling assurance indicators to identify modelling weaknesses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Identify Workflow Processes</w:t>
      </w:r>
    </w:p>
    <w:p>
      <w:pPr>
        <w:pStyle w:val="ListBullet"/>
      </w:pPr>
      <w:r>
        <w:t>Define Modelling Checkpoints</w:t>
      </w:r>
    </w:p>
    <w:p>
      <w:pPr>
        <w:pStyle w:val="ListBullet"/>
      </w:pPr>
      <w:r>
        <w:t>Incorporate Semantic and Metadata Rules</w:t>
      </w:r>
    </w:p>
    <w:p>
      <w:pPr>
        <w:pStyle w:val="ListBullet"/>
      </w:pPr>
      <w:r>
        <w:t>Assign Data Stewards</w:t>
      </w:r>
    </w:p>
    <w:p>
      <w:pPr>
        <w:pStyle w:val="ListBullet"/>
      </w:pPr>
      <w:r>
        <w:t>Develop Updated Workflow Templates</w:t>
      </w:r>
    </w:p>
    <w:p>
      <w:pPr>
        <w:pStyle w:val="ListBullet"/>
      </w:pPr>
      <w:r>
        <w:t>Review and Approve Workflow Templates</w:t>
      </w:r>
    </w:p>
    <w:p>
      <w:pPr>
        <w:pStyle w:val="ListBullet"/>
      </w:pPr>
      <w:r>
        <w:t>Implement and Monitor Workflows</w:t>
      </w:r>
    </w:p>
    <w:p>
      <w:pPr>
        <w:pStyle w:val="ListBullet"/>
      </w:pPr>
      <w:r>
        <w:t>Conduct Regular Reviews</w:t>
      </w:r>
    </w:p>
    <w:p>
      <w:pPr>
        <w:pStyle w:val="Heading4"/>
      </w:pPr>
      <w:r>
        <w:t>3.6.2.3 Governance Structural Components</w:t>
      </w:r>
    </w:p>
    <w:p>
      <w:r>
        <w:rPr>
          <w:b/>
        </w:rPr>
        <w:t xml:space="preserve">Purpose: </w:t>
      </w:r>
      <w:r>
        <w:t>To outline the governance framework supporting the procedure.</w:t>
      </w:r>
    </w:p>
    <w:p>
      <w:r>
        <w:rPr>
          <w:b/>
        </w:rPr>
        <w:t xml:space="preserve">Expected content: </w:t>
      </w:r>
      <w:r>
        <w:t>Coverage, themes, organizational structure, decision authority, governance processes, and exclusions.</w:t>
      </w:r>
    </w:p>
    <w:p>
      <w:pPr>
        <w:pStyle w:val="Heading5"/>
      </w:pPr>
      <w:r>
        <w:t>Sample elements</w:t>
      </w:r>
    </w:p>
    <w:p>
      <w:pPr>
        <w:pStyle w:val="Heading5"/>
      </w:pPr>
      <w:r>
        <w:t>Organizational Coverage: All departments involved in data management.</w:t>
      </w:r>
    </w:p>
    <w:p>
      <w:pPr>
        <w:pStyle w:val="Heading5"/>
      </w:pPr>
      <w:r>
        <w:t>Data Asset Coverage: All data models and related assets.</w:t>
      </w:r>
    </w:p>
    <w:p>
      <w:pPr>
        <w:pStyle w:val="Heading5"/>
      </w:pPr>
      <w:r>
        <w:t>Governance Themes: Data quality, compliance, and stewardship.</w:t>
      </w:r>
    </w:p>
    <w:p>
      <w:pPr>
        <w:pStyle w:val="Heading5"/>
      </w:pPr>
      <w:r>
        <w:t>Governance Organizational Structure: Data Governance Council overseeing the Data Governance Office.</w:t>
      </w:r>
    </w:p>
    <w:p>
      <w:pPr>
        <w:pStyle w:val="Heading5"/>
      </w:pPr>
      <w:r>
        <w:t>Decision Authority Model: Data Owners responsible for data domain decisions.</w:t>
      </w:r>
    </w:p>
    <w:p>
      <w:pPr>
        <w:pStyle w:val="Heading5"/>
      </w:pPr>
      <w:r>
        <w:t>Governance Processes</w:t>
      </w:r>
    </w:p>
    <w:p>
      <w:pPr>
        <w:pStyle w:val="ListBullet"/>
      </w:pPr>
      <w:r>
        <w:t>Establish modelling checkpoints</w:t>
      </w:r>
    </w:p>
    <w:p>
      <w:pPr>
        <w:pStyle w:val="ListBullet"/>
      </w:pPr>
      <w:r>
        <w:t>Monitor compliance with governance standards</w:t>
      </w:r>
    </w:p>
    <w:p>
      <w:pPr>
        <w:pStyle w:val="ListBullet"/>
      </w:pPr>
      <w:r>
        <w:t>Review data steward assignments</w:t>
      </w:r>
    </w:p>
    <w:p>
      <w:pPr>
        <w:pStyle w:val="ListBullet"/>
      </w:pPr>
      <w:r>
        <w:t>Conduct audits of workflow adherence</w:t>
      </w:r>
    </w:p>
    <w:p>
      <w:pPr>
        <w:pStyle w:val="Heading5"/>
      </w:pPr>
      <w:r>
        <w:t>Interfaces with Other Governance Structures: Coordination with Data Quality and Data Security governance.</w:t>
      </w:r>
    </w:p>
    <w:p>
      <w:pPr>
        <w:pStyle w:val="Heading5"/>
      </w:pPr>
      <w:r>
        <w:t>Explicit Exclusions: Non-data related workflows.</w:t>
      </w:r>
    </w:p>
    <w:p>
      <w:pPr>
        <w:pStyle w:val="Heading4"/>
      </w:pPr>
      <w:r>
        <w:t>3.6.2.4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3.7 Document-Level Governance Elements</w:t>
      </w:r>
    </w:p>
    <w:p>
      <w:pPr>
        <w:pStyle w:val="Heading3"/>
      </w:pPr>
      <w:r>
        <w:t>3.7.1 Document Governance</w:t>
      </w:r>
    </w:p>
    <w:p>
      <w:pPr>
        <w:spacing w:after="120"/>
      </w:pPr>
      <w:r>
        <w:t>Rules to keep this report controlled, auditable, and maintainable over time.</w:t>
      </w:r>
    </w:p>
    <w:p>
      <w:pPr>
        <w:pStyle w:val="Heading3"/>
      </w:pPr>
      <w:r>
        <w:t>3.7.2 Minimum Organizational Evidence</w:t>
      </w:r>
    </w:p>
    <w:p>
      <w:pPr>
        <w:spacing w:after="120"/>
      </w:pPr>
      <w:r>
        <w:t>Minimum organizational evidences required to sustain governance adoption and verification.</w:t>
      </w:r>
    </w:p>
    <w:p>
      <w:pPr>
        <w:pStyle w:val="Heading3"/>
      </w:pPr>
      <w:r>
        <w:t>3.7.3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