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6"/>
        </w:rPr>
        <w:t>DOMMx Consolidated Project Report</w:t>
      </w:r>
    </w:p>
    <w:p>
      <w:r>
        <w:rPr>
          <w:sz w:val="32"/>
        </w:rPr>
        <w:t>Data Operating Model and Maturity</w:t>
      </w:r>
    </w:p>
    <w:p/>
    <w:p>
      <w:r>
        <w:rPr>
          <w:b/>
        </w:rPr>
        <w:t xml:space="preserve">Project: </w:t>
      </w:r>
      <w:r>
        <w:t>teste 1</w:t>
      </w:r>
      <w:r>
        <w:t xml:space="preserve"> </w:t>
      </w:r>
      <w:r>
        <w:t>(ID: 986bfe9c-b2fa-46b7-b644-077b19e3aa1e)</w:t>
      </w:r>
    </w:p>
    <w:p>
      <w:r>
        <w:rPr>
          <w:b/>
        </w:rPr>
        <w:t xml:space="preserve">Scope: </w:t>
      </w:r>
      <w:r>
        <w:t>All assessed users</w:t>
      </w:r>
    </w:p>
    <w:p>
      <w:r>
        <w:rPr>
          <w:b/>
        </w:rPr>
        <w:t xml:space="preserve">Users included: </w:t>
      </w:r>
      <w:r>
        <w:t>1</w:t>
      </w:r>
    </w:p>
    <w:p>
      <w:r>
        <w:rPr>
          <w:b/>
        </w:rPr>
        <w:t xml:space="preserve">Report language: </w:t>
      </w:r>
      <w:r>
        <w:t>us</w:t>
      </w:r>
    </w:p>
    <w:p>
      <w:r>
        <w:rPr>
          <w:b/>
        </w:rPr>
        <w:t xml:space="preserve">Generated (UTC): </w:t>
      </w:r>
      <w:r>
        <w:t>2026-03-03 12:54:32</w:t>
      </w:r>
    </w:p>
    <w:p/>
    <w:p>
      <w:pPr>
        <w:spacing w:after="120"/>
      </w:pPr>
      <w:r>
        <w:t>This report represents the operational application of DOMMx through a structured domain-based assessment.</w:t>
        <w:br/>
        <w:br/>
        <w:t>For each evaluated domain, the report presents the current maturity level and defines the structured set of actions required to evolve to the next level.</w:t>
        <w:br/>
        <w:br/>
        <w:t>The content is prescriptive and focused on the construction and strengthening of data governance artifacts, and should be used as a technical foundation to document, institutionalize, and enhance governance practices proportionally to the identified maturity level.</w:t>
        <w:br/>
      </w:r>
    </w:p>
    <w:p>
      <w:r>
        <w:br w:type="page"/>
      </w:r>
    </w:p>
    <w:p>
      <w:r>
        <w:rPr>
          <w:b/>
          <w:sz w:val="36"/>
        </w:rPr>
        <w:t>How to Use This Report</w:t>
      </w:r>
    </w:p>
    <w:p/>
    <w:p>
      <w:pPr>
        <w:spacing w:after="120"/>
      </w:pPr>
      <w:r>
        <w:t>This report should be used as a technical guide for the structured evolution of data governance by domain.</w:t>
        <w:br/>
        <w:br/>
        <w:t>Based on the maturity level identified in the assessment, DOMMx activates prescriptive action packages that define what must be built, formalized, or strengthened to enable progression to the next maturity stage.</w:t>
        <w:br/>
        <w:br/>
        <w:t>The practical application of this report involves:</w:t>
        <w:br/>
        <w:br/>
        <w:t>1. Building formal governance artifacts when they do not exist or are insufficient</w:t>
        <w:br/>
        <w:t>2. Standardizing and documenting practices when partially structured</w:t>
        <w:br/>
        <w:t>3. Integrating and institutionalizing mechanisms when already defined</w:t>
        <w:br/>
        <w:t>4. Preparing the domain for measurable management in subsequent cycles</w:t>
        <w:br/>
        <w:br/>
        <w:t>Each domain section should be converted into formal documentation adapted to the specific organizational context, maintaining the proposed structure while contextualizing the technical content to the evaluated domain.</w:t>
        <w:br/>
        <w:br/>
        <w:t>This report is not merely descriptive. Its purpose is to drive structured action and maturity progression.</w:t>
        <w:br/>
      </w:r>
    </w:p>
    <w:p>
      <w:r>
        <w:br w:type="page"/>
      </w:r>
    </w:p>
    <w:p>
      <w:r>
        <w:rPr>
          <w:b/>
          <w:sz w:val="40"/>
        </w:rPr>
        <w:t>Table of Contents</w:t>
      </w:r>
    </w:p>
    <w:p/>
    <w:p>
      <w:r>
        <w:fldChar w:fldCharType="begin"/>
        <w:instrText xml:space="preserve">TOC \o "1-3" \h \z \u</w:instrText>
        <w:fldChar w:fldCharType="separate"/>
        <w:fldChar w:fldCharType="end"/>
      </w:r>
    </w:p>
    <w:p/>
    <w:p>
      <w:r>
        <w:br w:type="page"/>
      </w:r>
    </w:p>
    <w:p>
      <w:pPr>
        <w:pStyle w:val="Heading1"/>
      </w:pPr>
      <w:r>
        <w:t>1. Assessment Results</w:t>
      </w:r>
    </w:p>
    <w:p>
      <w:pPr>
        <w:spacing w:after="120"/>
      </w:pPr>
      <w:r>
        <w:t>The blueprint and prescriptive guidance presented in this report strictly follow the evaluated domain structure and the maturity values obtained during the current assessment cycle. They do not necessarily represent the entirety of the DOMMx operating model nor the full scope of any referenced data governance framework.</w:t>
        <w:br/>
      </w:r>
    </w:p>
    <w:p>
      <w:pPr>
        <w:spacing w:after="120"/>
      </w:pPr>
      <w:r>
        <w:t>This section provides maturity results by domain, including per-question scores, computed domain averages, and the final domain maturity grade. The domain maturity grade is computed as floor(AVG).</w:t>
        <w:br/>
      </w:r>
    </w:p>
    <w:p/>
    <w:p>
      <w:pPr>
        <w:pStyle w:val="Heading2"/>
      </w:pPr>
      <w:r>
        <w:t>1.1 Domain Summary</w:t>
      </w:r>
    </w:p>
    <w:p/>
    <w:p>
      <w:r>
        <w:drawing>
          <wp:inline xmlns:a="http://schemas.openxmlformats.org/drawingml/2006/main" xmlns:pic="http://schemas.openxmlformats.org/drawingml/2006/picture">
            <wp:extent cx="4572000" cy="4572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572000" cy="4572000"/>
                    </a:xfrm>
                    <a:prstGeom prst="rect"/>
                  </pic:spPr>
                </pic:pic>
              </a:graphicData>
            </a:graphic>
          </wp:inline>
        </w:drawing>
      </w:r>
    </w:p>
    <w:p/>
    <w:tbl>
      <w:tblPr>
        <w:tblW w:type="auto" w:w="0"/>
        <w:tblLook w:firstColumn="1" w:firstRow="1" w:lastColumn="0" w:lastRow="0" w:noHBand="0" w:noVBand="1" w:val="04A0"/>
      </w:tblPr>
      <w:tblGrid>
        <w:gridCol w:w="1728"/>
        <w:gridCol w:w="1728"/>
        <w:gridCol w:w="1728"/>
        <w:gridCol w:w="1728"/>
        <w:gridCol w:w="1728"/>
      </w:tblGrid>
      <w:tr>
        <w:tc>
          <w:tcPr>
            <w:tcW w:type="dxa" w:w="1728"/>
          </w:tcPr>
          <w:p>
            <w:r>
              <w:t>Domain</w:t>
            </w:r>
          </w:p>
        </w:tc>
        <w:tc>
          <w:tcPr>
            <w:tcW w:type="dxa" w:w="1728"/>
          </w:tcPr>
          <w:p>
            <w:r>
              <w:t>Domain Name</w:t>
            </w:r>
          </w:p>
        </w:tc>
        <w:tc>
          <w:tcPr>
            <w:tcW w:type="dxa" w:w="1728"/>
          </w:tcPr>
          <w:p>
            <w:r>
              <w:t>AVG</w:t>
            </w:r>
          </w:p>
        </w:tc>
        <w:tc>
          <w:tcPr>
            <w:tcW w:type="dxa" w:w="1728"/>
          </w:tcPr>
          <w:p>
            <w:r>
              <w:t>Final Grade (floor)</w:t>
            </w:r>
          </w:p>
        </w:tc>
        <w:tc>
          <w:tcPr>
            <w:tcW w:type="dxa" w:w="1728"/>
          </w:tcPr>
          <w:p>
            <w:r>
              <w:t>Maturity Level</w:t>
            </w:r>
          </w:p>
        </w:tc>
      </w:tr>
      <w:tr>
        <w:tc>
          <w:tcPr>
            <w:tcW w:type="dxa" w:w="1728"/>
          </w:tcPr>
          <w:p>
            <w:r>
              <w:t>DG</w:t>
            </w:r>
          </w:p>
        </w:tc>
        <w:tc>
          <w:tcPr>
            <w:tcW w:type="dxa" w:w="1728"/>
          </w:tcPr>
          <w:p>
            <w:r>
              <w:t>Data Governance</w:t>
            </w:r>
          </w:p>
        </w:tc>
        <w:tc>
          <w:tcPr>
            <w:tcW w:type="dxa" w:w="1728"/>
          </w:tcPr>
          <w:p>
            <w:r>
              <w:t>3.50</w:t>
            </w:r>
          </w:p>
        </w:tc>
        <w:tc>
          <w:tcPr>
            <w:tcW w:type="dxa" w:w="1728"/>
          </w:tcPr>
          <w:p>
            <w:r>
              <w:t>3</w:t>
            </w:r>
          </w:p>
        </w:tc>
        <w:tc>
          <w:tcPr>
            <w:tcW w:type="dxa" w:w="1728"/>
          </w:tcPr>
          <w:p>
            <w:r>
              <w:t>Defined</w:t>
            </w:r>
          </w:p>
        </w:tc>
      </w:tr>
      <w:tr>
        <w:tc>
          <w:tcPr>
            <w:tcW w:type="dxa" w:w="1728"/>
          </w:tcPr>
          <w:p>
            <w:r>
              <w:t>DA</w:t>
            </w:r>
          </w:p>
        </w:tc>
        <w:tc>
          <w:tcPr>
            <w:tcW w:type="dxa" w:w="1728"/>
          </w:tcPr>
          <w:p>
            <w:r>
              <w:t>Data Architecture</w:t>
            </w:r>
          </w:p>
        </w:tc>
        <w:tc>
          <w:tcPr>
            <w:tcW w:type="dxa" w:w="1728"/>
          </w:tcPr>
          <w:p>
            <w:r>
              <w:t>3.00</w:t>
            </w:r>
          </w:p>
        </w:tc>
        <w:tc>
          <w:tcPr>
            <w:tcW w:type="dxa" w:w="1728"/>
          </w:tcPr>
          <w:p>
            <w:r>
              <w:t>3</w:t>
            </w:r>
          </w:p>
        </w:tc>
        <w:tc>
          <w:tcPr>
            <w:tcW w:type="dxa" w:w="1728"/>
          </w:tcPr>
          <w:p>
            <w:r>
              <w:t>Defined</w:t>
            </w:r>
          </w:p>
        </w:tc>
      </w:tr>
      <w:tr>
        <w:tc>
          <w:tcPr>
            <w:tcW w:type="dxa" w:w="1728"/>
          </w:tcPr>
          <w:p>
            <w:r>
              <w:t>DMD</w:t>
            </w:r>
          </w:p>
        </w:tc>
        <w:tc>
          <w:tcPr>
            <w:tcW w:type="dxa" w:w="1728"/>
          </w:tcPr>
          <w:p>
            <w:r>
              <w:t>Data Modelling and Design</w:t>
            </w:r>
          </w:p>
        </w:tc>
        <w:tc>
          <w:tcPr>
            <w:tcW w:type="dxa" w:w="1728"/>
          </w:tcPr>
          <w:p>
            <w:r>
              <w:t>3.00</w:t>
            </w:r>
          </w:p>
        </w:tc>
        <w:tc>
          <w:tcPr>
            <w:tcW w:type="dxa" w:w="1728"/>
          </w:tcPr>
          <w:p>
            <w:r>
              <w:t>3</w:t>
            </w:r>
          </w:p>
        </w:tc>
        <w:tc>
          <w:tcPr>
            <w:tcW w:type="dxa" w:w="1728"/>
          </w:tcPr>
          <w:p>
            <w:r>
              <w:t>Defined</w:t>
            </w:r>
          </w:p>
        </w:tc>
      </w:tr>
    </w:tbl>
    <w:p/>
    <w:p>
      <w:pPr>
        <w:pStyle w:val="Heading2"/>
      </w:pPr>
      <w:r>
        <w:t>1.2 DG · Data Governance</w:t>
      </w:r>
    </w:p>
    <w:p>
      <w:pPr>
        <w:spacing w:after="120"/>
      </w:pPr>
      <w:r>
        <w:t>Domain maturity grade is computed as floor(AVG). Final grade: 3 (Defined).</w:t>
      </w:r>
    </w:p>
    <w:tbl>
      <w:tblPr>
        <w:tblW w:type="auto" w:w="0"/>
        <w:tblLook w:firstColumn="1" w:firstRow="1" w:lastColumn="0" w:lastRow="0" w:noHBand="0" w:noVBand="1" w:val="04A0"/>
      </w:tblPr>
      <w:tblGrid>
        <w:gridCol w:w="2160"/>
        <w:gridCol w:w="2160"/>
        <w:gridCol w:w="2160"/>
        <w:gridCol w:w="2160"/>
      </w:tblGrid>
      <w:tr>
        <w:tc>
          <w:tcPr>
            <w:tcW w:type="dxa" w:w="2160"/>
          </w:tcPr>
          <w:p>
            <w:r>
              <w:t>Question</w:t>
            </w:r>
          </w:p>
        </w:tc>
        <w:tc>
          <w:tcPr>
            <w:tcW w:type="dxa" w:w="2160"/>
          </w:tcPr>
          <w:p>
            <w:r>
              <w:t>Score</w:t>
            </w:r>
          </w:p>
        </w:tc>
        <w:tc>
          <w:tcPr>
            <w:tcW w:type="dxa" w:w="2160"/>
          </w:tcPr>
          <w:p>
            <w:r>
              <w:t>Nearest Level</w:t>
            </w:r>
          </w:p>
        </w:tc>
        <w:tc>
          <w:tcPr>
            <w:tcW w:type="dxa" w:w="2160"/>
          </w:tcPr>
          <w:p>
            <w:r>
              <w:t>Notes</w:t>
            </w:r>
          </w:p>
        </w:tc>
      </w:tr>
      <w:tr>
        <w:tc>
          <w:tcPr>
            <w:tcW w:type="dxa" w:w="2160"/>
          </w:tcPr>
          <w:p>
            <w:r>
              <w:t>Q1</w:t>
            </w:r>
          </w:p>
        </w:tc>
        <w:tc>
          <w:tcPr>
            <w:tcW w:type="dxa" w:w="2160"/>
          </w:tcPr>
          <w:p>
            <w:r>
              <w:t>3.00</w:t>
            </w:r>
          </w:p>
        </w:tc>
        <w:tc>
          <w:tcPr>
            <w:tcW w:type="dxa" w:w="2160"/>
          </w:tcPr>
          <w:p>
            <w:r>
              <w:t>Defined</w:t>
            </w:r>
          </w:p>
        </w:tc>
        <w:tc>
          <w:tcPr>
            <w:tcW w:type="dxa" w:w="2160"/>
          </w:tcPr>
          <w:p>
            <w:r/>
          </w:p>
        </w:tc>
      </w:tr>
      <w:tr>
        <w:tc>
          <w:tcPr>
            <w:tcW w:type="dxa" w:w="2160"/>
          </w:tcPr>
          <w:p>
            <w:r>
              <w:t>Q2</w:t>
            </w:r>
          </w:p>
        </w:tc>
        <w:tc>
          <w:tcPr>
            <w:tcW w:type="dxa" w:w="2160"/>
          </w:tcPr>
          <w:p>
            <w:r>
              <w:t>4.00</w:t>
            </w:r>
          </w:p>
        </w:tc>
        <w:tc>
          <w:tcPr>
            <w:tcW w:type="dxa" w:w="2160"/>
          </w:tcPr>
          <w:p>
            <w:r>
              <w:t>Managed</w:t>
            </w:r>
          </w:p>
        </w:tc>
        <w:tc>
          <w:tcPr>
            <w:tcW w:type="dxa" w:w="2160"/>
          </w:tcPr>
          <w:p>
            <w:r/>
          </w:p>
        </w:tc>
      </w:tr>
    </w:tbl>
    <w:p>
      <w:pPr>
        <w:spacing w:after="120"/>
      </w:pPr>
      <w:r>
        <w:t>Scoring rule: AVG = mean(question scores). Final domain maturity = floor(AVG).</w:t>
      </w:r>
    </w:p>
    <w:p/>
    <w:p>
      <w:pPr>
        <w:pStyle w:val="Heading2"/>
      </w:pPr>
      <w:r>
        <w:t>1.3 DA · Data Architecture</w:t>
      </w:r>
    </w:p>
    <w:p>
      <w:pPr>
        <w:spacing w:after="120"/>
      </w:pPr>
      <w:r>
        <w:t>Domain maturity grade is computed as floor(AVG). Final grade: 3 (Defined).</w:t>
      </w:r>
    </w:p>
    <w:tbl>
      <w:tblPr>
        <w:tblW w:type="auto" w:w="0"/>
        <w:tblLook w:firstColumn="1" w:firstRow="1" w:lastColumn="0" w:lastRow="0" w:noHBand="0" w:noVBand="1" w:val="04A0"/>
      </w:tblPr>
      <w:tblGrid>
        <w:gridCol w:w="2160"/>
        <w:gridCol w:w="2160"/>
        <w:gridCol w:w="2160"/>
        <w:gridCol w:w="2160"/>
      </w:tblGrid>
      <w:tr>
        <w:tc>
          <w:tcPr>
            <w:tcW w:type="dxa" w:w="2160"/>
          </w:tcPr>
          <w:p>
            <w:r>
              <w:t>Question</w:t>
            </w:r>
          </w:p>
        </w:tc>
        <w:tc>
          <w:tcPr>
            <w:tcW w:type="dxa" w:w="2160"/>
          </w:tcPr>
          <w:p>
            <w:r>
              <w:t>Score</w:t>
            </w:r>
          </w:p>
        </w:tc>
        <w:tc>
          <w:tcPr>
            <w:tcW w:type="dxa" w:w="2160"/>
          </w:tcPr>
          <w:p>
            <w:r>
              <w:t>Nearest Level</w:t>
            </w:r>
          </w:p>
        </w:tc>
        <w:tc>
          <w:tcPr>
            <w:tcW w:type="dxa" w:w="2160"/>
          </w:tcPr>
          <w:p>
            <w:r>
              <w:t>Notes</w:t>
            </w:r>
          </w:p>
        </w:tc>
      </w:tr>
      <w:tr>
        <w:tc>
          <w:tcPr>
            <w:tcW w:type="dxa" w:w="2160"/>
          </w:tcPr>
          <w:p>
            <w:r>
              <w:t>Q1</w:t>
            </w:r>
          </w:p>
        </w:tc>
        <w:tc>
          <w:tcPr>
            <w:tcW w:type="dxa" w:w="2160"/>
          </w:tcPr>
          <w:p>
            <w:r>
              <w:t>5.00</w:t>
            </w:r>
          </w:p>
        </w:tc>
        <w:tc>
          <w:tcPr>
            <w:tcW w:type="dxa" w:w="2160"/>
          </w:tcPr>
          <w:p>
            <w:r>
              <w:t>Optimized</w:t>
            </w:r>
          </w:p>
        </w:tc>
        <w:tc>
          <w:tcPr>
            <w:tcW w:type="dxa" w:w="2160"/>
          </w:tcPr>
          <w:p>
            <w:r/>
          </w:p>
        </w:tc>
      </w:tr>
      <w:tr>
        <w:tc>
          <w:tcPr>
            <w:tcW w:type="dxa" w:w="2160"/>
          </w:tcPr>
          <w:p>
            <w:r>
              <w:t>Q2</w:t>
            </w:r>
          </w:p>
        </w:tc>
        <w:tc>
          <w:tcPr>
            <w:tcW w:type="dxa" w:w="2160"/>
          </w:tcPr>
          <w:p>
            <w:r>
              <w:t>1.00</w:t>
            </w:r>
          </w:p>
        </w:tc>
        <w:tc>
          <w:tcPr>
            <w:tcW w:type="dxa" w:w="2160"/>
          </w:tcPr>
          <w:p>
            <w:r>
              <w:t>Ad-hoc</w:t>
            </w:r>
          </w:p>
        </w:tc>
        <w:tc>
          <w:tcPr>
            <w:tcW w:type="dxa" w:w="2160"/>
          </w:tcPr>
          <w:p>
            <w:r/>
          </w:p>
        </w:tc>
      </w:tr>
    </w:tbl>
    <w:p>
      <w:pPr>
        <w:spacing w:after="120"/>
      </w:pPr>
      <w:r>
        <w:t>Scoring rule: AVG = mean(question scores). Final domain maturity = floor(AVG).</w:t>
      </w:r>
    </w:p>
    <w:p/>
    <w:p>
      <w:r>
        <w:rPr>
          <w:b/>
        </w:rPr>
        <w:t xml:space="preserve">⚠ Maturity dispersion detected within this domain. </w:t>
      </w:r>
      <w:r>
        <w:t>Significant variance between question scores suggests structural inconsistency or uneven implementation maturity across components.</w:t>
      </w:r>
    </w:p>
    <w:p/>
    <w:p>
      <w:pPr>
        <w:pStyle w:val="Heading2"/>
      </w:pPr>
      <w:r>
        <w:t>1.4 DMD · Data Modelling and Design</w:t>
      </w:r>
    </w:p>
    <w:p>
      <w:pPr>
        <w:spacing w:after="120"/>
      </w:pPr>
      <w:r>
        <w:t>Domain maturity grade is computed as floor(AVG). Final grade: 3 (Defined).</w:t>
      </w:r>
    </w:p>
    <w:tbl>
      <w:tblPr>
        <w:tblW w:type="auto" w:w="0"/>
        <w:tblLook w:firstColumn="1" w:firstRow="1" w:lastColumn="0" w:lastRow="0" w:noHBand="0" w:noVBand="1" w:val="04A0"/>
      </w:tblPr>
      <w:tblGrid>
        <w:gridCol w:w="2160"/>
        <w:gridCol w:w="2160"/>
        <w:gridCol w:w="2160"/>
        <w:gridCol w:w="2160"/>
      </w:tblGrid>
      <w:tr>
        <w:tc>
          <w:tcPr>
            <w:tcW w:type="dxa" w:w="2160"/>
          </w:tcPr>
          <w:p>
            <w:r>
              <w:t>Question</w:t>
            </w:r>
          </w:p>
        </w:tc>
        <w:tc>
          <w:tcPr>
            <w:tcW w:type="dxa" w:w="2160"/>
          </w:tcPr>
          <w:p>
            <w:r>
              <w:t>Score</w:t>
            </w:r>
          </w:p>
        </w:tc>
        <w:tc>
          <w:tcPr>
            <w:tcW w:type="dxa" w:w="2160"/>
          </w:tcPr>
          <w:p>
            <w:r>
              <w:t>Nearest Level</w:t>
            </w:r>
          </w:p>
        </w:tc>
        <w:tc>
          <w:tcPr>
            <w:tcW w:type="dxa" w:w="2160"/>
          </w:tcPr>
          <w:p>
            <w:r>
              <w:t>Notes</w:t>
            </w:r>
          </w:p>
        </w:tc>
      </w:tr>
      <w:tr>
        <w:tc>
          <w:tcPr>
            <w:tcW w:type="dxa" w:w="2160"/>
          </w:tcPr>
          <w:p>
            <w:r>
              <w:t>Q1</w:t>
            </w:r>
          </w:p>
        </w:tc>
        <w:tc>
          <w:tcPr>
            <w:tcW w:type="dxa" w:w="2160"/>
          </w:tcPr>
          <w:p>
            <w:r>
              <w:t>3.00</w:t>
            </w:r>
          </w:p>
        </w:tc>
        <w:tc>
          <w:tcPr>
            <w:tcW w:type="dxa" w:w="2160"/>
          </w:tcPr>
          <w:p>
            <w:r>
              <w:t>Defined</w:t>
            </w:r>
          </w:p>
        </w:tc>
        <w:tc>
          <w:tcPr>
            <w:tcW w:type="dxa" w:w="2160"/>
          </w:tcPr>
          <w:p>
            <w:r/>
          </w:p>
        </w:tc>
      </w:tr>
    </w:tbl>
    <w:p>
      <w:pPr>
        <w:spacing w:after="120"/>
      </w:pPr>
      <w:r>
        <w:t>Scoring rule: AVG = mean(question scores). Final domain maturity = floor(AVG).</w:t>
      </w:r>
    </w:p>
    <w:p>
      <w:pPr>
        <w:pStyle w:val="Heading1"/>
      </w:pPr>
      <w:r>
        <w:t>2. Structural Dependencies and Inconsistencies</w:t>
      </w:r>
    </w:p>
    <w:p>
      <w:pPr>
        <w:spacing w:after="120"/>
      </w:pPr>
      <w:r>
        <w:t>This section documents structural dependencies between domains and highlights detected dependency breaks or maturity incoherences. Declared dependencies are derived from the project flow definition, and remediation rationale is sourced from the dependency inconsistency knowledge base.</w:t>
        <w:br/>
      </w:r>
    </w:p>
    <w:p>
      <w:pPr>
        <w:pStyle w:val="Heading2"/>
      </w:pPr>
      <w:r>
        <w:t>2.1 Declared Dependencies (project flow)</w:t>
      </w:r>
    </w:p>
    <w:p>
      <w:pPr>
        <w:pStyle w:val="Heading3"/>
      </w:pPr>
      <w:r>
        <w:t>DG · Data Governance</w:t>
      </w:r>
    </w:p>
    <w:p>
      <w:pPr>
        <w:spacing w:after="120"/>
      </w:pPr>
      <w:r>
        <w:t>No dependencies declared.</w:t>
      </w:r>
    </w:p>
    <w:p>
      <w:pPr>
        <w:pStyle w:val="Heading3"/>
      </w:pPr>
      <w:r>
        <w:t>DA · Data Architecture</w:t>
      </w:r>
    </w:p>
    <w:p>
      <w:pPr>
        <w:spacing w:after="120"/>
      </w:pPr>
      <w:r>
        <w:t>Declared dependencies:</w:t>
      </w:r>
    </w:p>
    <w:p>
      <w:pPr>
        <w:pStyle w:val="ListBullet"/>
      </w:pPr>
      <w:r>
        <w:t>- DG · Data Governance (grade 3 · Defined)</w:t>
      </w:r>
    </w:p>
    <w:p>
      <w:pPr>
        <w:pStyle w:val="Heading3"/>
      </w:pPr>
      <w:r>
        <w:t>DMD · Data Modelling and Design</w:t>
      </w:r>
    </w:p>
    <w:p>
      <w:pPr>
        <w:spacing w:after="120"/>
      </w:pPr>
      <w:r>
        <w:t>Declared dependencies:</w:t>
      </w:r>
    </w:p>
    <w:p>
      <w:pPr>
        <w:pStyle w:val="ListBullet"/>
      </w:pPr>
      <w:r>
        <w:t>- DG · Data Governance (grade 3 · Defined)</w:t>
      </w:r>
    </w:p>
    <w:p>
      <w:pPr>
        <w:pStyle w:val="ListBullet"/>
      </w:pPr>
      <w:r>
        <w:t>- DA · Data Architecture (grade 3 · Defined)</w:t>
      </w:r>
    </w:p>
    <w:p>
      <w:pPr>
        <w:pStyle w:val="Heading2"/>
      </w:pPr>
      <w:r>
        <w:t>2.2 Detected Dependency Breaks and Remediation Guidance</w:t>
      </w:r>
    </w:p>
    <w:p>
      <w:pPr>
        <w:spacing w:after="120"/>
      </w:pPr>
      <w:r>
        <w:t>No dependency inconsistency records were found for the evaluated domains.</w:t>
      </w:r>
    </w:p>
    <w:p>
      <w:pPr>
        <w:pStyle w:val="Heading1"/>
      </w:pPr>
      <w:r>
        <w:t>3. Domain Blueprint and Prescriptive Procedures</w:t>
      </w:r>
    </w:p>
    <w:p>
      <w:pPr>
        <w:spacing w:after="120"/>
      </w:pPr>
      <w:r>
        <w:t>This section provides the prescriptive blueprint to progress from the current maturity grade. For each domain, a triggered Action Code is identified and its governance procedure pack (DEMO) is provided in a structured format.</w:t>
        <w:br/>
      </w:r>
    </w:p>
    <w:p>
      <w:pPr>
        <w:pStyle w:val="Heading2"/>
      </w:pPr>
      <w:r>
        <w:t>3.1 Assessment Result and Strategic Direction</w:t>
      </w:r>
    </w:p>
    <w:p>
      <w:pPr>
        <w:spacing w:after="120"/>
      </w:pPr>
      <w:r>
        <w:t>The blueprint and prescriptive procedures below strictly reflect the evaluated domains and their respective maturity grades obtained in this assessment cycle. They do not necessarily represent the full scope of the DOMMx operating model nor any comprehensive external governance framework.</w:t>
        <w:br/>
      </w:r>
    </w:p>
    <w:p>
      <w:pPr>
        <w:spacing w:after="120"/>
      </w:pPr>
      <w:r>
        <w:t>Executive Reading:</w:t>
      </w:r>
    </w:p>
    <w:p>
      <w:pPr>
        <w:pStyle w:val="ListBullet"/>
      </w:pPr>
      <w:r>
        <w:t>DG = 3.50 → Level 3 (Defined)</w:t>
      </w:r>
    </w:p>
    <w:p>
      <w:pPr>
        <w:pStyle w:val="ListBullet"/>
      </w:pPr>
      <w:r>
        <w:t>DA = 3.00 → Level 3 (Defined)</w:t>
      </w:r>
    </w:p>
    <w:p>
      <w:pPr>
        <w:pStyle w:val="ListBullet"/>
      </w:pPr>
      <w:r>
        <w:t>DMD = 3.00 → Level 3 (Defined)</w:t>
      </w:r>
    </w:p>
    <w:p>
      <w:pPr>
        <w:pStyle w:val="Heading2"/>
      </w:pPr>
      <w:r>
        <w:t>3.2 Common Elements Across Domains</w:t>
      </w:r>
    </w:p>
    <w:p>
      <w:pPr>
        <w:spacing w:after="120"/>
      </w:pPr>
      <w:r>
        <w:t>This section defines structural components that apply consistently across all domains.  These elements establish coherence, governance alignment, and institutional integration.</w:t>
        <w:br/>
      </w:r>
    </w:p>
    <w:p>
      <w:pPr>
        <w:pStyle w:val="Heading3"/>
      </w:pPr>
      <w:r>
        <w:t>3.2.1 Standard Governance Artifact Structure</w:t>
      </w:r>
    </w:p>
    <w:p>
      <w:pPr>
        <w:spacing w:after="120"/>
      </w:pPr>
      <w:r>
        <w:t>Every governance artifact must follow a standardized structural template to ensure  consistency, traceability, and auditability.</w:t>
        <w:br/>
      </w:r>
    </w:p>
    <w:p>
      <w:pPr>
        <w:pStyle w:val="Heading4"/>
      </w:pPr>
      <w:r>
        <w:t>3.2.1.1 Document Control</w:t>
      </w:r>
    </w:p>
    <w:p>
      <w:r>
        <w:rPr>
          <w:b/>
        </w:rPr>
        <w:t xml:space="preserve">Purpose: </w:t>
      </w:r>
      <w:r>
        <w:t>To establish the formal identification and versioning of the document.</w:t>
      </w:r>
    </w:p>
    <w:p>
      <w:r>
        <w:rPr>
          <w:b/>
        </w:rPr>
        <w:t xml:space="preserve">Expected Content: </w:t>
      </w:r>
      <w:r>
        <w:t>Title, version number, status, approval authority, and revision history.</w:t>
      </w:r>
    </w:p>
    <w:p>
      <w:pPr>
        <w:pStyle w:val="Heading4"/>
      </w:pPr>
      <w:r>
        <w:t>Sample Elements</w:t>
      </w:r>
    </w:p>
    <w:p>
      <w:pPr>
        <w:pStyle w:val="Heading4"/>
      </w:pPr>
      <w:r>
        <w:t>Document Title: Governance Standards Implementation Guide</w:t>
      </w:r>
    </w:p>
    <w:p>
      <w:pPr>
        <w:pStyle w:val="Heading4"/>
      </w:pPr>
      <w:r>
        <w:t>Version and Status: Version 1.0 - Draft</w:t>
      </w:r>
    </w:p>
    <w:p>
      <w:pPr>
        <w:pStyle w:val="Heading4"/>
      </w:pPr>
      <w:r>
        <w:t>Approval Authority: Data Governance Council</w:t>
      </w:r>
    </w:p>
    <w:p>
      <w:pPr>
        <w:pStyle w:val="Heading4"/>
      </w:pPr>
      <w:r>
        <w:t>Revision History: Date, description of changes, author.</w:t>
      </w:r>
    </w:p>
    <w:p>
      <w:pPr>
        <w:pStyle w:val="Heading4"/>
      </w:pPr>
      <w:r>
        <w:t>3.2.1.2 Executive Summary</w:t>
      </w:r>
    </w:p>
    <w:p>
      <w:r>
        <w:rPr>
          <w:b/>
        </w:rPr>
        <w:t xml:space="preserve">Purpose: </w:t>
      </w:r>
      <w:r>
        <w:t>To provide a high-level overview of the document's intent and significance.</w:t>
      </w:r>
    </w:p>
    <w:p>
      <w:r>
        <w:rPr>
          <w:b/>
        </w:rPr>
        <w:t xml:space="preserve">Expected Content: </w:t>
      </w:r>
      <w:r>
        <w:t>Summary of the governance standards implementation process and its importance to the organization.</w:t>
      </w:r>
    </w:p>
    <w:p>
      <w:r>
        <w:rPr>
          <w:b/>
        </w:rPr>
        <w:t xml:space="preserve">Sample Elements: </w:t>
      </w:r>
      <w:r>
        <w:t>Overview of embedding governance into routines, alignment with DMBOK2 and DCAM.</w:t>
      </w:r>
    </w:p>
    <w:p>
      <w:pPr>
        <w:pStyle w:val="Heading4"/>
      </w:pPr>
      <w:r>
        <w:t>3.2.1.3 Appendices</w:t>
      </w:r>
    </w:p>
    <w:p>
      <w:r>
        <w:rPr>
          <w:b/>
        </w:rPr>
        <w:t xml:space="preserve">Purpose: </w:t>
      </w:r>
      <w:r>
        <w:t>To provide supplementary materials that support the main document.</w:t>
      </w:r>
    </w:p>
    <w:p>
      <w:r>
        <w:rPr>
          <w:b/>
        </w:rPr>
        <w:t xml:space="preserve">Expected Content: </w:t>
      </w:r>
      <w:r>
        <w:t>Templates, reference standards, and supporting artifacts.</w:t>
      </w:r>
    </w:p>
    <w:p>
      <w:pPr>
        <w:pStyle w:val="Heading4"/>
      </w:pPr>
      <w:r>
        <w:t>Sample Elements</w:t>
      </w:r>
    </w:p>
    <w:p>
      <w:pPr>
        <w:pStyle w:val="Heading4"/>
      </w:pPr>
      <w:r>
        <w:t>Templates: Governance standards implementation log template.</w:t>
      </w:r>
    </w:p>
    <w:p>
      <w:pPr>
        <w:pStyle w:val="Heading4"/>
      </w:pPr>
      <w:r>
        <w:t>Reference Standards: Links to DAMA-DMBOK and DCAM resources.</w:t>
      </w:r>
    </w:p>
    <w:p>
      <w:pPr>
        <w:pStyle w:val="Heading4"/>
      </w:pPr>
      <w:r>
        <w:t>Supporting Artefacts: Examples of governance policies and procedures.</w:t>
      </w:r>
    </w:p>
    <w:p>
      <w:pPr>
        <w:pStyle w:val="Heading3"/>
      </w:pPr>
      <w:r>
        <w:t>3.2.2 Transversal Structural Elements</w:t>
      </w:r>
    </w:p>
    <w:p>
      <w:pPr>
        <w:spacing w:after="120"/>
      </w:pPr>
      <w:r>
        <w:t>These transversal structural elements apply across domains and ensure organizational  alignment, accountability, and control integration.</w:t>
        <w:br/>
      </w:r>
    </w:p>
    <w:p>
      <w:pPr>
        <w:pStyle w:val="Heading4"/>
      </w:pPr>
      <w:r>
        <w:t>3.2.2.1 Domain and Context Framing</w:t>
      </w:r>
    </w:p>
    <w:p>
      <w:r>
        <w:rPr>
          <w:b/>
        </w:rPr>
        <w:t xml:space="preserve">Purpose: </w:t>
      </w:r>
      <w:r>
        <w:t>To define the specific domain and contextualize the governance action.</w:t>
      </w:r>
    </w:p>
    <w:p>
      <w:r>
        <w:rPr>
          <w:b/>
        </w:rPr>
        <w:t xml:space="preserve">Expected Content: </w:t>
      </w:r>
      <w:r>
        <w:t>Definition of the domain, organizational context, and maturity positioning based on the maturity score.</w:t>
      </w:r>
    </w:p>
    <w:p>
      <w:pPr>
        <w:pStyle w:val="Heading4"/>
      </w:pPr>
      <w:r>
        <w:t>Sample Elements</w:t>
      </w:r>
    </w:p>
    <w:p>
      <w:pPr>
        <w:pStyle w:val="Heading4"/>
      </w:pPr>
      <w:r>
        <w:t>Domain Definition: Data Governance</w:t>
      </w:r>
    </w:p>
    <w:p>
      <w:pPr>
        <w:pStyle w:val="Heading4"/>
      </w:pPr>
      <w:r>
        <w:t>Organizational Context: Overview of the organization’s data management landscape.</w:t>
      </w:r>
    </w:p>
    <w:p>
      <w:pPr>
        <w:pStyle w:val="Heading4"/>
      </w:pPr>
      <w:r>
        <w:t>Maturity Positioning: Score 3 - Managed.</w:t>
      </w:r>
    </w:p>
    <w:p>
      <w:pPr>
        <w:pStyle w:val="Heading4"/>
      </w:pPr>
      <w:r>
        <w:t>3.2.2.2 Action Definition</w:t>
      </w:r>
    </w:p>
    <w:p>
      <w:r>
        <w:rPr>
          <w:b/>
        </w:rPr>
        <w:t xml:space="preserve">Purpose: </w:t>
      </w:r>
      <w:r>
        <w:t>To clearly define the action being taken within the governance framework.</w:t>
      </w:r>
    </w:p>
    <w:p>
      <w:r>
        <w:rPr>
          <w:b/>
        </w:rPr>
        <w:t xml:space="preserve">Expected Content: </w:t>
      </w:r>
      <w:r>
        <w:t>Action code, title, objective, and scope boundaries.</w:t>
      </w:r>
    </w:p>
    <w:p>
      <w:pPr>
        <w:pStyle w:val="Heading4"/>
      </w:pPr>
      <w:r>
        <w:t>Sample Elements</w:t>
      </w:r>
    </w:p>
    <w:p>
      <w:pPr>
        <w:pStyle w:val="Heading4"/>
      </w:pPr>
      <w:r>
        <w:t>Action Code and Title: DG-04 - Embed governance into organizational and domain routines</w:t>
      </w:r>
    </w:p>
    <w:p>
      <w:pPr>
        <w:pStyle w:val="Heading4"/>
      </w:pPr>
      <w:r>
        <w:t>Action Objective: To systematically integrate governance standards into daily operations.</w:t>
      </w:r>
    </w:p>
    <w:p>
      <w:pPr>
        <w:pStyle w:val="Heading4"/>
      </w:pPr>
      <w:r>
        <w:t>Action Scope Boundaries: Applicable to all data domains within the organization.</w:t>
      </w:r>
    </w:p>
    <w:p>
      <w:pPr>
        <w:pStyle w:val="Heading4"/>
      </w:pPr>
      <w:r>
        <w:t>3.2.2.3 Procedure Definition</w:t>
      </w:r>
    </w:p>
    <w:p>
      <w:r>
        <w:rPr>
          <w:b/>
        </w:rPr>
        <w:t xml:space="preserve">Purpose: </w:t>
      </w:r>
      <w:r>
        <w:t>To outline the procedural steps necessary for implementing governance standards.</w:t>
      </w:r>
    </w:p>
    <w:p>
      <w:r>
        <w:rPr>
          <w:b/>
        </w:rPr>
        <w:t xml:space="preserve">Expected Content: </w:t>
      </w:r>
      <w:r>
        <w:t>Objective, prerequisites, deliverables, and a detailed step-by-step execution structure.</w:t>
      </w:r>
    </w:p>
    <w:p>
      <w:pPr>
        <w:pStyle w:val="Heading4"/>
      </w:pPr>
      <w:r>
        <w:t>Sample Elements</w:t>
      </w:r>
    </w:p>
    <w:p>
      <w:pPr>
        <w:pStyle w:val="Heading4"/>
      </w:pPr>
      <w:r>
        <w:t>Procedure Objective: To implement governance standards across domains.</w:t>
      </w:r>
    </w:p>
    <w:p>
      <w:pPr>
        <w:pStyle w:val="Heading4"/>
      </w:pPr>
      <w:r>
        <w:t>Prerequisites: Requires approved governance standards.</w:t>
      </w:r>
    </w:p>
    <w:p>
      <w:pPr>
        <w:pStyle w:val="Heading4"/>
      </w:pPr>
      <w:r>
        <w:t>Deliverables: Governance standards implementation log.</w:t>
      </w:r>
    </w:p>
    <w:p>
      <w:pPr>
        <w:pStyle w:val="Heading4"/>
      </w:pPr>
      <w:r>
        <w:t>Step-by-Step Execution Structure</w:t>
      </w:r>
    </w:p>
    <w:p>
      <w:pPr>
        <w:pStyle w:val="ListBullet"/>
      </w:pPr>
      <w:r>
        <w:t>Establish Governance Framework</w:t>
      </w:r>
    </w:p>
    <w:p>
      <w:pPr>
        <w:pStyle w:val="ListBullet"/>
      </w:pPr>
      <w:r>
        <w:t>Communicate Standards</w:t>
      </w:r>
    </w:p>
    <w:p>
      <w:pPr>
        <w:pStyle w:val="ListBullet"/>
      </w:pPr>
      <w:r>
        <w:t>Integrate Standards into Processes</w:t>
      </w:r>
    </w:p>
    <w:p>
      <w:pPr>
        <w:pStyle w:val="ListBullet"/>
      </w:pPr>
      <w:r>
        <w:t>Assign Stewardship Roles</w:t>
      </w:r>
    </w:p>
    <w:p>
      <w:pPr>
        <w:pStyle w:val="ListBullet"/>
      </w:pPr>
      <w:r>
        <w:t>Implement Checkpoints for Compliance</w:t>
      </w:r>
    </w:p>
    <w:p>
      <w:pPr>
        <w:pStyle w:val="ListBullet"/>
      </w:pPr>
      <w:r>
        <w:t>Monitor and Report on Implementation</w:t>
      </w:r>
    </w:p>
    <w:p>
      <w:pPr>
        <w:pStyle w:val="ListBullet"/>
      </w:pPr>
      <w:r>
        <w:t>Review and Adjust Standards</w:t>
      </w:r>
    </w:p>
    <w:p>
      <w:pPr>
        <w:pStyle w:val="ListBullet"/>
      </w:pPr>
      <w:r>
        <w:t>Document Implementation Log.</w:t>
      </w:r>
    </w:p>
    <w:p>
      <w:pPr>
        <w:pStyle w:val="Heading4"/>
      </w:pPr>
      <w:r>
        <w:t>3.2.2.4 Governance Structural Components</w:t>
      </w:r>
    </w:p>
    <w:p>
      <w:r>
        <w:rPr>
          <w:b/>
        </w:rPr>
        <w:t xml:space="preserve">Purpose: </w:t>
      </w:r>
      <w:r>
        <w:t>To delineate the structural elements that support governance implementation.</w:t>
      </w:r>
    </w:p>
    <w:p>
      <w:r>
        <w:rPr>
          <w:b/>
        </w:rPr>
        <w:t xml:space="preserve">Expected Content: </w:t>
      </w:r>
      <w:r>
        <w:t>Coverage areas, themes, organizational structure, decision authority, governance processes, interfaces, and exclusions.</w:t>
      </w:r>
    </w:p>
    <w:p>
      <w:pPr>
        <w:pStyle w:val="Heading4"/>
      </w:pPr>
      <w:r>
        <w:t>Sample Elements</w:t>
      </w:r>
    </w:p>
    <w:p>
      <w:pPr>
        <w:pStyle w:val="Heading4"/>
      </w:pPr>
      <w:r>
        <w:t>Organizational Coverage: All data domains within the organization.</w:t>
      </w:r>
    </w:p>
    <w:p>
      <w:pPr>
        <w:pStyle w:val="Heading4"/>
      </w:pPr>
      <w:r>
        <w:t>Data Asset Coverage: All critical data assets identified in the governance framework.</w:t>
      </w:r>
    </w:p>
    <w:p>
      <w:pPr>
        <w:pStyle w:val="Heading4"/>
      </w:pPr>
      <w:r>
        <w:t>Governance Themes: Data quality, data security, data privacy.</w:t>
      </w:r>
    </w:p>
    <w:p>
      <w:pPr>
        <w:pStyle w:val="Heading4"/>
      </w:pPr>
      <w:r>
        <w:t>Governance Organizational Structure: Data Governance Council, Data Governance Office, Data Owners, Data Stewards.</w:t>
      </w:r>
    </w:p>
    <w:p>
      <w:pPr>
        <w:pStyle w:val="Heading4"/>
      </w:pPr>
      <w:r>
        <w:t>Decision Authority Model: Defined roles and responsibilities for decision-making.</w:t>
      </w:r>
    </w:p>
    <w:p>
      <w:pPr>
        <w:pStyle w:val="Heading4"/>
      </w:pPr>
      <w:r>
        <w:t>Governance Processes</w:t>
      </w:r>
    </w:p>
    <w:p>
      <w:pPr>
        <w:pStyle w:val="ListBullet"/>
      </w:pPr>
      <w:r>
        <w:t>Establish governance framework</w:t>
      </w:r>
    </w:p>
    <w:p>
      <w:pPr>
        <w:pStyle w:val="ListBullet"/>
      </w:pPr>
      <w:r>
        <w:t>Communicate standards</w:t>
      </w:r>
    </w:p>
    <w:p>
      <w:pPr>
        <w:pStyle w:val="ListBullet"/>
      </w:pPr>
      <w:r>
        <w:t>Integrate standards into processes</w:t>
      </w:r>
    </w:p>
    <w:p>
      <w:pPr>
        <w:pStyle w:val="ListBullet"/>
      </w:pPr>
      <w:r>
        <w:t>Assign stewardship roles</w:t>
      </w:r>
    </w:p>
    <w:p>
      <w:pPr>
        <w:pStyle w:val="ListBullet"/>
      </w:pPr>
      <w:r>
        <w:t>Implement checkpoints for compliance</w:t>
      </w:r>
    </w:p>
    <w:p>
      <w:pPr>
        <w:pStyle w:val="ListBullet"/>
      </w:pPr>
      <w:r>
        <w:t>Monitor and report on implementation</w:t>
      </w:r>
    </w:p>
    <w:p>
      <w:pPr>
        <w:pStyle w:val="ListBullet"/>
      </w:pPr>
      <w:r>
        <w:t>Review and adjust standards</w:t>
      </w:r>
    </w:p>
    <w:p>
      <w:pPr>
        <w:pStyle w:val="ListBullet"/>
      </w:pPr>
      <w:r>
        <w:t>Document implementation log.</w:t>
      </w:r>
    </w:p>
    <w:p>
      <w:pPr>
        <w:pStyle w:val="Heading4"/>
      </w:pPr>
      <w:r>
        <w:t>Interfaces with Other Governance Structures: Interaction with other governance frameworks within the organization.</w:t>
      </w:r>
    </w:p>
    <w:p>
      <w:pPr>
        <w:pStyle w:val="Heading4"/>
      </w:pPr>
      <w:r>
        <w:t>Explicit Exclusions: Areas not covered by this governance framework.</w:t>
      </w:r>
    </w:p>
    <w:p>
      <w:pPr>
        <w:pStyle w:val="Heading4"/>
      </w:pPr>
      <w:r>
        <w:t>3.2.2.5 Control and Oversight Mechanisms</w:t>
      </w:r>
    </w:p>
    <w:p>
      <w:r>
        <w:rPr>
          <w:b/>
        </w:rPr>
        <w:t xml:space="preserve">Purpose: </w:t>
      </w:r>
      <w:r>
        <w:t>To define the formal control and oversight mechanisms applicable to this action.</w:t>
      </w:r>
    </w:p>
    <w:p>
      <w:pPr>
        <w:pStyle w:val="Heading4"/>
      </w:pPr>
      <w:r>
        <w:t>Monitoring and KPIs</w:t>
      </w:r>
    </w:p>
    <w:p>
      <w:pPr>
        <w:pStyle w:val="ListBullet"/>
      </w:pPr>
      <w:r>
        <w:t>Define measurable indicators aligned with the action objective</w:t>
      </w:r>
    </w:p>
    <w:p>
      <w:pPr>
        <w:pStyle w:val="ListBullet"/>
      </w:pPr>
      <w:r>
        <w:t>Define measurement frequency and reporting cadence</w:t>
      </w:r>
    </w:p>
    <w:p>
      <w:pPr>
        <w:pStyle w:val="ListBullet"/>
      </w:pPr>
      <w:r>
        <w:t>Identify data source for each KPI</w:t>
      </w:r>
    </w:p>
    <w:p>
      <w:pPr>
        <w:pStyle w:val="ListBullet"/>
      </w:pPr>
      <w:r>
        <w:t>Assign accountable monitoring role</w:t>
      </w:r>
    </w:p>
    <w:p>
      <w:pPr>
        <w:pStyle w:val="Heading4"/>
      </w:pPr>
      <w:r>
        <w:t>Compliance and Internal Control Alignment</w:t>
      </w:r>
    </w:p>
    <w:p>
      <w:pPr>
        <w:pStyle w:val="ListBullet"/>
      </w:pPr>
      <w:r>
        <w:t>Reference structured internal control mechanisms</w:t>
      </w:r>
    </w:p>
    <w:p>
      <w:pPr>
        <w:pStyle w:val="ListBullet"/>
      </w:pPr>
      <w:r>
        <w:t>Define validation checkpoints</w:t>
      </w:r>
    </w:p>
    <w:p>
      <w:pPr>
        <w:pStyle w:val="Heading4"/>
      </w:pPr>
      <w:r>
        <w:t>Operational Escalation Model</w:t>
      </w:r>
    </w:p>
    <w:p>
      <w:pPr>
        <w:pStyle w:val="ListBullet"/>
      </w:pPr>
      <w:r>
        <w:t>Define escalation thresholds</w:t>
      </w:r>
    </w:p>
    <w:p>
      <w:pPr>
        <w:pStyle w:val="ListBullet"/>
      </w:pPr>
      <w:r>
        <w:t>Assign responsible escalation authority</w:t>
      </w:r>
    </w:p>
    <w:p>
      <w:pPr>
        <w:pStyle w:val="ListBullet"/>
      </w:pPr>
      <w:r>
        <w:t>Define documented resolution workflow</w:t>
      </w:r>
    </w:p>
    <w:p>
      <w:pPr>
        <w:pStyle w:val="Heading2"/>
      </w:pPr>
      <w:r>
        <w:t>3.3 Consolidated Maturity Model Definition</w:t>
      </w:r>
    </w:p>
    <w:p>
      <w:pPr>
        <w:pStyle w:val="Heading3"/>
      </w:pPr>
      <w:r>
        <w:t>Level 0 – Non-existent</w:t>
      </w:r>
    </w:p>
    <w:p>
      <w:pPr>
        <w:spacing w:after="120"/>
      </w:pPr>
      <w:r>
        <w:t>No governance practices and no defined responsibilities or processes.</w:t>
      </w:r>
    </w:p>
    <w:p>
      <w:pPr>
        <w:spacing w:after="120"/>
      </w:pPr>
      <w:r>
        <w:t>Indicates a complete absence of structure and an immediate need for foundational action.</w:t>
      </w:r>
    </w:p>
    <w:p>
      <w:pPr>
        <w:pStyle w:val="Heading3"/>
      </w:pPr>
      <w:r>
        <w:t>Level 1 – Initial</w:t>
      </w:r>
    </w:p>
    <w:p>
      <w:pPr>
        <w:spacing w:after="120"/>
      </w:pPr>
      <w:r>
        <w:t>Activities occur informally and reactively with little or no documentation.</w:t>
      </w:r>
    </w:p>
    <w:p>
      <w:pPr>
        <w:spacing w:after="120"/>
      </w:pPr>
      <w:r>
        <w:t>Reflects awareness, but also high variability and operational risk.</w:t>
      </w:r>
    </w:p>
    <w:p>
      <w:pPr>
        <w:pStyle w:val="Heading3"/>
      </w:pPr>
      <w:r>
        <w:t>Level 2 – Emerging</w:t>
      </w:r>
    </w:p>
    <w:p>
      <w:pPr>
        <w:spacing w:after="120"/>
      </w:pPr>
      <w:r>
        <w:t>Some practices exist but remain inconsistent, undocumented, or not adopted across teams.</w:t>
      </w:r>
    </w:p>
    <w:p>
      <w:pPr>
        <w:spacing w:after="120"/>
      </w:pPr>
      <w:r>
        <w:t>Shows early development. Standardization and documentation are necessary to progress.</w:t>
      </w:r>
    </w:p>
    <w:p>
      <w:pPr>
        <w:pStyle w:val="Heading3"/>
      </w:pPr>
      <w:r>
        <w:t>Level 3 – Established</w:t>
      </w:r>
    </w:p>
    <w:p>
      <w:pPr>
        <w:spacing w:after="120"/>
      </w:pPr>
      <w:r>
        <w:t>Processes, roles, and policies are defined, documented, and applied with stability.</w:t>
      </w:r>
    </w:p>
    <w:p>
      <w:pPr>
        <w:spacing w:after="120"/>
      </w:pPr>
      <w:r>
        <w:t>Demonstrates operational consistency and readiness for more structured improvements.</w:t>
      </w:r>
    </w:p>
    <w:p>
      <w:pPr>
        <w:pStyle w:val="Heading3"/>
      </w:pPr>
      <w:r>
        <w:t>Level 4 – Managed</w:t>
      </w:r>
    </w:p>
    <w:p>
      <w:pPr>
        <w:spacing w:after="120"/>
      </w:pPr>
      <w:r>
        <w:t>Governance is integrated into workflows and supported by tools, monitoring, and oversight.</w:t>
      </w:r>
    </w:p>
    <w:p>
      <w:pPr>
        <w:spacing w:after="120"/>
      </w:pPr>
      <w:r>
        <w:t>Represents mature adoption with reliable execution across teams.</w:t>
      </w:r>
    </w:p>
    <w:p>
      <w:pPr>
        <w:pStyle w:val="Heading3"/>
      </w:pPr>
      <w:r>
        <w:t>Level 5 – Optimized</w:t>
      </w:r>
    </w:p>
    <w:p>
      <w:pPr>
        <w:spacing w:after="120"/>
      </w:pPr>
      <w:r>
        <w:t>Governance is fully embedded, continuously improved, and aligned with compliance and ethical expectations.</w:t>
      </w:r>
    </w:p>
    <w:p>
      <w:pPr>
        <w:spacing w:after="120"/>
      </w:pPr>
      <w:r>
        <w:t>Represents advanced maturity with proactive governance, optimization, and institutionalized continuous improvement.</w:t>
      </w:r>
    </w:p>
    <w:p>
      <w:pPr>
        <w:pStyle w:val="Heading2"/>
      </w:pPr>
      <w:r>
        <w:t>3.4 DG · Data Governance</w:t>
      </w:r>
    </w:p>
    <w:p>
      <w:pPr>
        <w:pStyle w:val="Heading3"/>
      </w:pPr>
      <w:r>
        <w:t>3.4.1 Contextualization of the Assessed Domain</w:t>
      </w:r>
    </w:p>
    <w:p>
      <w:r>
        <w:rPr>
          <w:b/>
        </w:rPr>
        <w:t xml:space="preserve">Description: </w:t>
      </w:r>
      <w:r>
        <w:t>Questions in this domain assess the existence, formalization, and consistent execution of core governance mechanisms, including policies, principles, stewardship structures, accountability roles, and oversight bodies. They evaluate how responsibilities are defined, how decisions are made, and how governance is embedded into organizational routines. These elements reflect the structural, procedural, and relational mechanisms emphasized in the literature as foundational for effective governance (Abraham et al., 2019). Moreover, it provides the basis for capability development across all remaining domains.</w:t>
      </w:r>
    </w:p>
    <w:p>
      <w:r>
        <w:rPr>
          <w:b/>
        </w:rPr>
        <w:t xml:space="preserve">Objective: </w:t>
      </w:r>
      <w:r>
        <w:t>Define the specific domain and contextualize the governance action.</w:t>
      </w:r>
    </w:p>
    <w:p>
      <w:r>
        <w:rPr>
          <w:b/>
        </w:rPr>
        <w:t xml:space="preserve">Expected content: </w:t>
      </w:r>
      <w:r>
        <w:t>Domain definition, organizational context, and maturity positioning  based on the assessed maturity score.</w:t>
      </w:r>
    </w:p>
    <w:p>
      <w:pPr>
        <w:spacing w:after="120"/>
      </w:pPr>
      <w:r>
        <w:t>Current maturity grade: Level 3 (Defined).</w:t>
      </w:r>
    </w:p>
    <w:p>
      <w:pPr>
        <w:pStyle w:val="Heading4"/>
      </w:pPr>
      <w:r>
        <w:t>Organizational Context: Overview of the organization’s data management landscape.</w:t>
      </w:r>
    </w:p>
    <w:p>
      <w:pPr>
        <w:spacing w:after="120"/>
      </w:pPr>
      <w:r>
        <w:t>Triggered Action Code: DG-04</w:t>
      </w:r>
    </w:p>
    <w:p>
      <w:pPr>
        <w:pStyle w:val="Heading3"/>
      </w:pPr>
      <w:r>
        <w:t>3.4.2 Prescriptive Procedure Pack</w:t>
      </w:r>
    </w:p>
    <w:p>
      <w:pPr>
        <w:spacing w:after="120"/>
      </w:pPr>
      <w:r>
        <w:t>The prescriptive procedure package consolidates domain-specific actions and operational  mechanisms required to advance maturity to the next level.</w:t>
        <w:br/>
      </w:r>
    </w:p>
    <w:p>
      <w:pPr>
        <w:pStyle w:val="Heading4"/>
      </w:pPr>
      <w:r>
        <w:t>3.4.2.1 Action Definition</w:t>
      </w:r>
    </w:p>
    <w:p>
      <w:r>
        <w:rPr>
          <w:b/>
        </w:rPr>
        <w:t xml:space="preserve">Purpose: </w:t>
      </w:r>
      <w:r>
        <w:t>To clearly define the action being taken within the governance framework.</w:t>
      </w:r>
    </w:p>
    <w:p>
      <w:r>
        <w:rPr>
          <w:b/>
        </w:rPr>
        <w:t xml:space="preserve">Expected Content: </w:t>
      </w:r>
      <w:r>
        <w:t>Action code, title, objective, and scope boundaries.</w:t>
      </w:r>
    </w:p>
    <w:p>
      <w:pPr>
        <w:pStyle w:val="Heading5"/>
      </w:pPr>
      <w:r>
        <w:t>Sample Elements</w:t>
      </w:r>
    </w:p>
    <w:p>
      <w:pPr>
        <w:pStyle w:val="Heading5"/>
      </w:pPr>
      <w:r>
        <w:t>Action Code and Title: DG-04 - Embed governance into organizational and domain routines</w:t>
      </w:r>
    </w:p>
    <w:p>
      <w:pPr>
        <w:pStyle w:val="Heading5"/>
      </w:pPr>
      <w:r>
        <w:t>Action Objective: To systematically integrate governance standards into daily operations.</w:t>
      </w:r>
    </w:p>
    <w:p>
      <w:pPr>
        <w:pStyle w:val="Heading5"/>
      </w:pPr>
      <w:r>
        <w:t>Action Scope Boundaries: Applicable to all data domains within the organization.</w:t>
      </w:r>
    </w:p>
    <w:p>
      <w:pPr>
        <w:pStyle w:val="Heading4"/>
      </w:pPr>
      <w:r>
        <w:t>3.4.2.2 Procedure Definition</w:t>
      </w:r>
    </w:p>
    <w:p>
      <w:r>
        <w:rPr>
          <w:b/>
        </w:rPr>
        <w:t xml:space="preserve">Purpose: </w:t>
      </w:r>
      <w:r>
        <w:t>To outline the procedural steps necessary for implementing governance standards.</w:t>
      </w:r>
    </w:p>
    <w:p>
      <w:r>
        <w:rPr>
          <w:b/>
        </w:rPr>
        <w:t xml:space="preserve">Expected Content: </w:t>
      </w:r>
      <w:r>
        <w:t>Objective, prerequisites, deliverables, and a detailed step-by-step execution structure.</w:t>
      </w:r>
    </w:p>
    <w:p>
      <w:pPr>
        <w:pStyle w:val="Heading5"/>
      </w:pPr>
      <w:r>
        <w:t>Sample Elements</w:t>
      </w:r>
    </w:p>
    <w:p>
      <w:pPr>
        <w:pStyle w:val="Heading5"/>
      </w:pPr>
      <w:r>
        <w:t>Procedure Objective: To implement governance standards across domains.</w:t>
      </w:r>
    </w:p>
    <w:p>
      <w:pPr>
        <w:pStyle w:val="Heading5"/>
      </w:pPr>
      <w:r>
        <w:t>Prerequisites: Requires approved governance standards.</w:t>
      </w:r>
    </w:p>
    <w:p>
      <w:pPr>
        <w:pStyle w:val="Heading5"/>
      </w:pPr>
      <w:r>
        <w:t>Deliverables: Governance standards implementation log.</w:t>
      </w:r>
    </w:p>
    <w:p>
      <w:pPr>
        <w:pStyle w:val="Heading5"/>
      </w:pPr>
      <w:r>
        <w:t>Step-by-Step Execution Structure</w:t>
      </w:r>
    </w:p>
    <w:p>
      <w:pPr>
        <w:pStyle w:val="Heading4"/>
      </w:pPr>
      <w:r>
        <w:t>Sample elements</w:t>
      </w:r>
    </w:p>
    <w:p>
      <w:pPr>
        <w:spacing w:before="120" w:after="120"/>
      </w:pPr>
      <w:r>
        <w:rPr>
          <w:b/>
        </w:rPr>
        <w:t xml:space="preserve">Procedure number: </w:t>
      </w:r>
      <w:r>
        <w:t>1</w:t>
      </w:r>
    </w:p>
    <w:p>
      <w:pPr>
        <w:spacing w:before="120" w:after="120"/>
      </w:pPr>
      <w:r>
        <w:rPr>
          <w:b/>
        </w:rPr>
        <w:t xml:space="preserve">Name: </w:t>
      </w:r>
      <w:r>
        <w:t>Implement governance standards across domains</w:t>
      </w:r>
    </w:p>
    <w:p>
      <w:pPr>
        <w:spacing w:before="120" w:after="120"/>
      </w:pPr>
      <w:r>
        <w:rPr>
          <w:b/>
        </w:rPr>
        <w:t xml:space="preserve">Prerequisite: </w:t>
      </w:r>
      <w:r>
        <w:t>Requires approved standards</w:t>
      </w:r>
    </w:p>
    <w:p>
      <w:pPr>
        <w:spacing w:before="120" w:after="120"/>
      </w:pPr>
      <w:r>
        <w:rPr>
          <w:b/>
        </w:rPr>
        <w:t xml:space="preserve">Deliverable: </w:t>
      </w:r>
      <w:r>
        <w:t>Governance standards implementation log</w:t>
      </w:r>
    </w:p>
    <w:p>
      <w:r>
        <w:rPr>
          <w:b/>
        </w:rPr>
        <w:t>Recommendations:</w:t>
      </w:r>
    </w:p>
    <w:p>
      <w:pPr>
        <w:pStyle w:val="ListBullet"/>
      </w:pPr>
      <w:r>
        <w:t>Implement standards following DAMA guidance on how governance rules should be incorporated into operational and analytical processes as described in DMBOK2 (Chapter 3.5, p. 62).</w:t>
      </w:r>
    </w:p>
    <w:p>
      <w:pPr>
        <w:pStyle w:val="ListBullet"/>
      </w:pPr>
      <w:r>
        <w:t>Ensure integration aligns with DAMA’s description of cross-domain coordination and governance activities (Chapter 3.3, p. 58–59).</w:t>
      </w:r>
    </w:p>
    <w:p>
      <w:pPr>
        <w:pStyle w:val="ListBullet"/>
      </w:pPr>
      <w:r>
        <w:t>Validate that each domain adopts standards consistently according to DAMA’s stewardship responsibilities and oversight expectations (Chapter 4, p. 86–89).</w:t>
      </w:r>
    </w:p>
    <w:p>
      <w:pPr>
        <w:pStyle w:val="ListBullet"/>
      </w:pPr>
      <w:r>
        <w:t>Confirm implementation reflects DAMA’s lifecycle checkpoints for controlled data definition, usage, and retirement (Chapter 4.3, p. 92).</w:t>
      </w:r>
    </w:p>
    <w:p>
      <w:r>
        <w:rPr>
          <w:b/>
        </w:rPr>
        <w:t>Notes:</w:t>
      </w:r>
    </w:p>
    <w:p>
      <w:pPr>
        <w:pStyle w:val="ListBullet"/>
      </w:pPr>
      <w:r>
        <w:t>Apply DCAM domain capability alignment to ensure standards are embedded uniformly and remain actionable.</w:t>
      </w:r>
    </w:p>
    <w:p>
      <w:pPr>
        <w:spacing w:before="240"/>
      </w:pPr>
    </w:p>
    <w:p>
      <w:pPr>
        <w:spacing w:before="120" w:after="120"/>
      </w:pPr>
      <w:r>
        <w:rPr>
          <w:b/>
        </w:rPr>
        <w:t xml:space="preserve">Procedure number: </w:t>
      </w:r>
      <w:r>
        <w:t>2</w:t>
      </w:r>
    </w:p>
    <w:p>
      <w:pPr>
        <w:spacing w:before="120" w:after="120"/>
      </w:pPr>
      <w:r>
        <w:rPr>
          <w:b/>
        </w:rPr>
        <w:t xml:space="preserve">Name: </w:t>
      </w:r>
      <w:r>
        <w:t>Integrate governance rules into operational workflows</w:t>
      </w:r>
    </w:p>
    <w:p>
      <w:pPr>
        <w:spacing w:before="120" w:after="120"/>
      </w:pPr>
      <w:r>
        <w:rPr>
          <w:b/>
        </w:rPr>
        <w:t xml:space="preserve">Prerequisite: </w:t>
      </w:r>
      <w:r>
        <w:t>Requires operational workflow mapping</w:t>
      </w:r>
    </w:p>
    <w:p>
      <w:pPr>
        <w:spacing w:before="120" w:after="120"/>
      </w:pPr>
      <w:r>
        <w:rPr>
          <w:b/>
        </w:rPr>
        <w:t xml:space="preserve">Deliverable: </w:t>
      </w:r>
      <w:r>
        <w:t>Governance workflow integration record</w:t>
      </w:r>
    </w:p>
    <w:p>
      <w:r>
        <w:rPr>
          <w:b/>
        </w:rPr>
        <w:t>Recommendations:</w:t>
      </w:r>
    </w:p>
    <w:p>
      <w:pPr>
        <w:pStyle w:val="ListBullet"/>
      </w:pPr>
      <w:r>
        <w:t>Integrate rules using DAMA guidance for embedding governance controls within data processes, including validation, approval, and traceability steps (Chapter 3.3, p. 58).</w:t>
      </w:r>
    </w:p>
    <w:p>
      <w:pPr>
        <w:pStyle w:val="ListBullet"/>
      </w:pPr>
      <w:r>
        <w:t>Ensure that workflow steps reflect DAMA expectations for authority, stewardship interaction, and escalation (Chapter 3.4, p. 60).</w:t>
      </w:r>
    </w:p>
    <w:p>
      <w:pPr>
        <w:pStyle w:val="ListBullet"/>
      </w:pPr>
      <w:r>
        <w:t>Validate adherence to DAMA stewardship responsibilities, which define who must intervene at each workflow stage (Chapter 4, p. 86–87).</w:t>
      </w:r>
    </w:p>
    <w:p>
      <w:pPr>
        <w:pStyle w:val="ListBullet"/>
      </w:pPr>
      <w:r>
        <w:t>Confirm that workflow integration covers metadata, lineage, and quality components described by DAMA (Chapters 9 through 1).</w:t>
      </w:r>
    </w:p>
    <w:p>
      <w:r>
        <w:rPr>
          <w:b/>
        </w:rPr>
        <w:t>Notes:</w:t>
      </w:r>
    </w:p>
    <w:p>
      <w:pPr>
        <w:pStyle w:val="ListBullet"/>
      </w:pPr>
      <w:r>
        <w:t>Use CMMI institutionalization logic to reinforce the adoption of governance rules as stable, repeatable routines.</w:t>
      </w:r>
    </w:p>
    <w:p>
      <w:pPr>
        <w:spacing w:before="240"/>
      </w:pPr>
    </w:p>
    <w:p>
      <w:pPr>
        <w:spacing w:before="120" w:after="120"/>
      </w:pPr>
      <w:r>
        <w:rPr>
          <w:b/>
        </w:rPr>
        <w:t xml:space="preserve">Procedure number: </w:t>
      </w:r>
      <w:r>
        <w:t>3</w:t>
      </w:r>
    </w:p>
    <w:p>
      <w:pPr>
        <w:spacing w:before="120" w:after="120"/>
      </w:pPr>
      <w:r>
        <w:rPr>
          <w:b/>
        </w:rPr>
        <w:t xml:space="preserve">Name: </w:t>
      </w:r>
      <w:r>
        <w:t>Embed governance responsibilities in role descriptions</w:t>
      </w:r>
    </w:p>
    <w:p>
      <w:pPr>
        <w:spacing w:before="120" w:after="120"/>
      </w:pPr>
      <w:r>
        <w:rPr>
          <w:b/>
        </w:rPr>
        <w:t xml:space="preserve">Prerequisite: </w:t>
      </w:r>
      <w:r>
        <w:t>Requires approved governance roles</w:t>
      </w:r>
    </w:p>
    <w:p>
      <w:pPr>
        <w:spacing w:before="120" w:after="120"/>
      </w:pPr>
      <w:r>
        <w:rPr>
          <w:b/>
        </w:rPr>
        <w:t xml:space="preserve">Deliverable: </w:t>
      </w:r>
      <w:r>
        <w:t>Updated role descriptions</w:t>
      </w:r>
    </w:p>
    <w:p>
      <w:r>
        <w:rPr>
          <w:b/>
        </w:rPr>
        <w:t>Recommendations:</w:t>
      </w:r>
    </w:p>
    <w:p>
      <w:pPr>
        <w:pStyle w:val="ListBullet"/>
      </w:pPr>
      <w:r>
        <w:t>Update role descriptions according to DAMA’s role model, which defines responsibilities for owners, stewards, and custodians (Chapter 3.2, p. 55–57).</w:t>
      </w:r>
    </w:p>
    <w:p>
      <w:pPr>
        <w:pStyle w:val="ListBullet"/>
      </w:pPr>
      <w:r>
        <w:t>Ensure descriptions include authority boundaries and governance decision types defined by DAMA (Chapter 3, p. 51).</w:t>
      </w:r>
    </w:p>
    <w:p>
      <w:pPr>
        <w:pStyle w:val="ListBullet"/>
      </w:pPr>
      <w:r>
        <w:t>Align duties with DAMA stewardship lifecycle checkpoints, including creation, approval, publishing, and retirement (Chapter 4.3, p. 92).</w:t>
      </w:r>
    </w:p>
    <w:p>
      <w:pPr>
        <w:pStyle w:val="ListBullet"/>
      </w:pPr>
      <w:r>
        <w:t>Validate that responsibilities support governance communication principles and stakeholder expectations described by DAMA (Chapter 3.6, p. 64).</w:t>
      </w:r>
    </w:p>
    <w:p>
      <w:r>
        <w:rPr>
          <w:b/>
        </w:rPr>
        <w:t>Notes:</w:t>
      </w:r>
    </w:p>
    <w:p>
      <w:pPr>
        <w:pStyle w:val="ListBullet"/>
      </w:pPr>
      <w:r>
        <w:t>Use IDGC behavioral alignment guidance to promote adherence and cultural acceptance of governance responsibilities.</w:t>
      </w:r>
    </w:p>
    <w:p>
      <w:pPr>
        <w:spacing w:before="240"/>
      </w:pPr>
    </w:p>
    <w:p>
      <w:pPr>
        <w:spacing w:before="120" w:after="120"/>
      </w:pPr>
      <w:r>
        <w:rPr>
          <w:b/>
        </w:rPr>
        <w:t xml:space="preserve">Procedure number: </w:t>
      </w:r>
      <w:r>
        <w:t>4</w:t>
      </w:r>
    </w:p>
    <w:p>
      <w:pPr>
        <w:spacing w:before="120" w:after="120"/>
      </w:pPr>
      <w:r>
        <w:rPr>
          <w:b/>
        </w:rPr>
        <w:t xml:space="preserve">Name: </w:t>
      </w:r>
      <w:r>
        <w:t>Integrate governance checkpoints into the data lifecycle</w:t>
      </w:r>
    </w:p>
    <w:p>
      <w:pPr>
        <w:spacing w:before="120" w:after="120"/>
      </w:pPr>
      <w:r>
        <w:rPr>
          <w:b/>
        </w:rPr>
        <w:t xml:space="preserve">Prerequisite: </w:t>
      </w:r>
      <w:r>
        <w:t>Requires data lifecycle mapping</w:t>
      </w:r>
    </w:p>
    <w:p>
      <w:pPr>
        <w:spacing w:before="120" w:after="120"/>
      </w:pPr>
      <w:r>
        <w:rPr>
          <w:b/>
        </w:rPr>
        <w:t xml:space="preserve">Deliverable: </w:t>
      </w:r>
      <w:r>
        <w:t>Governance lifecycle checkpoint matrix</w:t>
      </w:r>
    </w:p>
    <w:p>
      <w:r>
        <w:rPr>
          <w:b/>
        </w:rPr>
        <w:t>Recommendations:</w:t>
      </w:r>
    </w:p>
    <w:p>
      <w:pPr>
        <w:pStyle w:val="ListBullet"/>
      </w:pPr>
      <w:r>
        <w:t>Integrate checkpoints following DAMA’s lifecycle structure, which defines quality, metadata, and governance control points (Chapter 4.3, p. 92).</w:t>
      </w:r>
    </w:p>
    <w:p>
      <w:pPr>
        <w:pStyle w:val="ListBullet"/>
      </w:pPr>
      <w:r>
        <w:t>Ensure alignment with DAMA definitions for controlled creation, validation, usage, and retirement presented across data management chapters (Chapters 9, 10, 11).</w:t>
      </w:r>
    </w:p>
    <w:p>
      <w:pPr>
        <w:pStyle w:val="ListBullet"/>
      </w:pPr>
      <w:r>
        <w:t>Confirm that checkpoint owners are aligned to DAMA governance authority and escalation guidelines (Chapter 3.4, p. 60).</w:t>
      </w:r>
    </w:p>
    <w:p>
      <w:pPr>
        <w:pStyle w:val="ListBullet"/>
      </w:pPr>
      <w:r>
        <w:t>Validate that lifecycle checkpoints span strategic, tactical, and operational responsibilities described in DAMA’s functional governance architecture (Figure 3-2, p. 53).</w:t>
      </w:r>
    </w:p>
    <w:p>
      <w:r>
        <w:rPr>
          <w:b/>
        </w:rPr>
        <w:t>Notes:</w:t>
      </w:r>
    </w:p>
    <w:p>
      <w:pPr>
        <w:pStyle w:val="ListBullet"/>
      </w:pPr>
      <w:r>
        <w:t>Use DCAM lifecycle capability criteria to strengthen lifecycle governance coverage and ensure checkpoints can be monitored effectively.</w:t>
      </w:r>
    </w:p>
    <w:p>
      <w:pPr>
        <w:spacing w:before="240"/>
      </w:pPr>
    </w:p>
    <w:p>
      <w:pPr>
        <w:spacing w:before="120" w:after="120"/>
      </w:pPr>
      <w:r>
        <w:rPr>
          <w:b/>
        </w:rPr>
        <w:t xml:space="preserve">Procedure number: </w:t>
      </w:r>
      <w:r>
        <w:t>5</w:t>
      </w:r>
    </w:p>
    <w:p>
      <w:pPr>
        <w:spacing w:before="120" w:after="120"/>
      </w:pPr>
      <w:r>
        <w:rPr>
          <w:b/>
        </w:rPr>
        <w:t xml:space="preserve">Name: </w:t>
      </w:r>
      <w:r>
        <w:t>Apply governance controls to domain operations</w:t>
      </w:r>
    </w:p>
    <w:p>
      <w:pPr>
        <w:spacing w:before="120" w:after="120"/>
      </w:pPr>
      <w:r>
        <w:rPr>
          <w:b/>
        </w:rPr>
        <w:t xml:space="preserve">Prerequisite: </w:t>
      </w:r>
      <w:r>
        <w:t>Requires defined stewardship and ownership structures</w:t>
      </w:r>
    </w:p>
    <w:p>
      <w:pPr>
        <w:spacing w:before="120" w:after="120"/>
      </w:pPr>
      <w:r>
        <w:rPr>
          <w:b/>
        </w:rPr>
        <w:t xml:space="preserve">Deliverable: </w:t>
      </w:r>
      <w:r>
        <w:t>Domain governance control log</w:t>
      </w:r>
    </w:p>
    <w:p>
      <w:r>
        <w:rPr>
          <w:b/>
        </w:rPr>
        <w:t>Recommendations:</w:t>
      </w:r>
    </w:p>
    <w:p>
      <w:pPr>
        <w:pStyle w:val="ListBullet"/>
      </w:pPr>
      <w:r>
        <w:t>Apply controls using DAMA’s definitions for governance oversight, including monitoring, approval, and corrective actions (Chapter 3.3, p. 58–59).</w:t>
      </w:r>
    </w:p>
    <w:p>
      <w:pPr>
        <w:pStyle w:val="ListBullet"/>
      </w:pPr>
      <w:r>
        <w:t>Ensure controls remain consistent with DAMA principles for decision transparency and quality enforcement (Chapter 3.4, p. 60).</w:t>
      </w:r>
    </w:p>
    <w:p>
      <w:pPr>
        <w:pStyle w:val="ListBullet"/>
      </w:pPr>
      <w:r>
        <w:t>Confirm that domain stewards apply controls according to DAMA responsibilities for data definition, access oversight, and lifecycle management (Chapter 4, p. 86–89).</w:t>
      </w:r>
    </w:p>
    <w:p>
      <w:pPr>
        <w:pStyle w:val="ListBullet"/>
      </w:pPr>
      <w:r>
        <w:t>Validate that control execution incorporates DAMA quality and metadata rules described across relevant data management chapters (Chapters 9, 10, 11).</w:t>
      </w:r>
    </w:p>
    <w:p>
      <w:r>
        <w:rPr>
          <w:b/>
        </w:rPr>
        <w:t>Notes:</w:t>
      </w:r>
    </w:p>
    <w:p>
      <w:pPr>
        <w:pStyle w:val="ListBullet"/>
      </w:pPr>
      <w:r>
        <w:t>Apply CMMI monitoring practices to ensure that governance controls are continuously evaluated and improved.</w:t>
      </w:r>
    </w:p>
    <w:p>
      <w:pPr>
        <w:spacing w:before="240"/>
      </w:pPr>
    </w:p>
    <w:p>
      <w:pPr>
        <w:spacing w:before="120" w:after="120"/>
      </w:pPr>
      <w:r>
        <w:rPr>
          <w:b/>
        </w:rPr>
        <w:t xml:space="preserve">Procedure number: </w:t>
      </w:r>
      <w:r>
        <w:t>6</w:t>
      </w:r>
    </w:p>
    <w:p>
      <w:pPr>
        <w:spacing w:before="120" w:after="120"/>
      </w:pPr>
      <w:r>
        <w:rPr>
          <w:b/>
        </w:rPr>
        <w:t xml:space="preserve">Name: </w:t>
      </w:r>
      <w:r>
        <w:t>Structural Institutionalization Reinforcement</w:t>
      </w:r>
    </w:p>
    <w:p>
      <w:pPr>
        <w:spacing w:before="120" w:after="120"/>
      </w:pPr>
      <w:r>
        <w:rPr>
          <w:b/>
        </w:rPr>
        <w:t xml:space="preserve">Prerequisite: </w:t>
      </w:r>
      <w:r>
        <w:t>Requires approved governance mechanism and formalized policy baseline</w:t>
      </w:r>
    </w:p>
    <w:p>
      <w:pPr>
        <w:spacing w:before="120" w:after="120"/>
      </w:pPr>
      <w:r>
        <w:rPr>
          <w:b/>
        </w:rPr>
        <w:t xml:space="preserve">Deliverable: </w:t>
      </w:r>
      <w:r>
        <w:t>Institutionalized governance procedure with assigned control owner and documented evidence of repeatable execution</w:t>
      </w:r>
    </w:p>
    <w:p>
      <w:r>
        <w:rPr>
          <w:b/>
        </w:rPr>
        <w:t>Recommendations:</w:t>
      </w:r>
    </w:p>
    <w:p>
      <w:pPr>
        <w:pStyle w:val="ListBullet"/>
      </w:pPr>
      <w:r>
        <w:t>Assign a formally accountable Control Owner responsible for sustaining the governance mechanism.</w:t>
      </w:r>
    </w:p>
    <w:p>
      <w:pPr>
        <w:pStyle w:val="ListBullet"/>
      </w:pPr>
      <w:r>
        <w:t>Define objective acceptance criteria confirming stable and consistent execution.</w:t>
      </w:r>
    </w:p>
    <w:p>
      <w:pPr>
        <w:pStyle w:val="ListBullet"/>
      </w:pPr>
      <w:r>
        <w:t>Produce documented artefacts evidencing repeatable operational application.</w:t>
      </w:r>
    </w:p>
    <w:p>
      <w:pPr>
        <w:pStyle w:val="ListBullet"/>
      </w:pPr>
      <w:r>
        <w:t>Ensure integration into established organizational routines.</w:t>
      </w:r>
    </w:p>
    <w:p>
      <w:pPr>
        <w:pStyle w:val="ListBullet"/>
      </w:pPr>
      <w:r>
        <w:t>Maintain traceability between the governance mechanism and governing policy.</w:t>
      </w:r>
    </w:p>
    <w:p>
      <w:pPr>
        <w:pStyle w:val="ListBullet"/>
      </w:pPr>
      <w:r>
        <w:t>Establish Governance Framework</w:t>
      </w:r>
    </w:p>
    <w:p>
      <w:pPr>
        <w:pStyle w:val="ListBullet"/>
      </w:pPr>
      <w:r>
        <w:t>Communicate Standards</w:t>
      </w:r>
    </w:p>
    <w:p>
      <w:pPr>
        <w:pStyle w:val="ListBullet"/>
      </w:pPr>
      <w:r>
        <w:t>Integrate Standards into Processes</w:t>
      </w:r>
    </w:p>
    <w:p>
      <w:pPr>
        <w:pStyle w:val="ListBullet"/>
      </w:pPr>
      <w:r>
        <w:t>Assign Stewardship Roles</w:t>
      </w:r>
    </w:p>
    <w:p>
      <w:pPr>
        <w:pStyle w:val="ListBullet"/>
      </w:pPr>
      <w:r>
        <w:t>Implement Checkpoints for Compliance</w:t>
      </w:r>
    </w:p>
    <w:p>
      <w:pPr>
        <w:pStyle w:val="ListBullet"/>
      </w:pPr>
      <w:r>
        <w:t>Monitor and Report on Implementation</w:t>
      </w:r>
    </w:p>
    <w:p>
      <w:pPr>
        <w:pStyle w:val="ListBullet"/>
      </w:pPr>
      <w:r>
        <w:t>Review and Adjust Standards</w:t>
      </w:r>
    </w:p>
    <w:p>
      <w:pPr>
        <w:pStyle w:val="ListBullet"/>
      </w:pPr>
      <w:r>
        <w:t>Document Implementation Log.</w:t>
      </w:r>
    </w:p>
    <w:p>
      <w:pPr>
        <w:pStyle w:val="Heading4"/>
      </w:pPr>
      <w:r>
        <w:t>3.4.2.3 Governance Structural Components</w:t>
      </w:r>
    </w:p>
    <w:p>
      <w:r>
        <w:rPr>
          <w:b/>
        </w:rPr>
        <w:t xml:space="preserve">Purpose: </w:t>
      </w:r>
      <w:r>
        <w:t>To delineate the structural elements that support governance implementation.</w:t>
      </w:r>
    </w:p>
    <w:p>
      <w:r>
        <w:rPr>
          <w:b/>
        </w:rPr>
        <w:t xml:space="preserve">Expected Content: </w:t>
      </w:r>
      <w:r>
        <w:t>Coverage areas, themes, organizational structure, decision authority, governance processes, interfaces, and exclusions.</w:t>
      </w:r>
    </w:p>
    <w:p>
      <w:pPr>
        <w:pStyle w:val="Heading5"/>
      </w:pPr>
      <w:r>
        <w:t>Sample Elements</w:t>
      </w:r>
    </w:p>
    <w:p>
      <w:pPr>
        <w:pStyle w:val="Heading5"/>
      </w:pPr>
      <w:r>
        <w:t>Organizational Coverage: All data domains within the organization.</w:t>
      </w:r>
    </w:p>
    <w:p>
      <w:pPr>
        <w:pStyle w:val="Heading5"/>
      </w:pPr>
      <w:r>
        <w:t>Data Asset Coverage: All critical data assets identified in the governance framework.</w:t>
      </w:r>
    </w:p>
    <w:p>
      <w:pPr>
        <w:pStyle w:val="Heading5"/>
      </w:pPr>
      <w:r>
        <w:t>Governance Themes: Data quality, data security, data privacy.</w:t>
      </w:r>
    </w:p>
    <w:p>
      <w:pPr>
        <w:pStyle w:val="Heading5"/>
      </w:pPr>
      <w:r>
        <w:t>Governance Organizational Structure: Data Governance Council, Data Governance Office, Data Owners, Data Stewards.</w:t>
      </w:r>
    </w:p>
    <w:p>
      <w:pPr>
        <w:pStyle w:val="Heading5"/>
      </w:pPr>
      <w:r>
        <w:t>Decision Authority Model: Defined roles and responsibilities for decision-making.</w:t>
      </w:r>
    </w:p>
    <w:p>
      <w:pPr>
        <w:pStyle w:val="Heading5"/>
      </w:pPr>
      <w:r>
        <w:t>Governance Processes</w:t>
      </w:r>
    </w:p>
    <w:p>
      <w:pPr>
        <w:pStyle w:val="ListBullet"/>
      </w:pPr>
      <w:r>
        <w:t>Establish governance framework</w:t>
      </w:r>
    </w:p>
    <w:p>
      <w:pPr>
        <w:pStyle w:val="ListBullet"/>
      </w:pPr>
      <w:r>
        <w:t>Communicate standards</w:t>
      </w:r>
    </w:p>
    <w:p>
      <w:pPr>
        <w:pStyle w:val="ListBullet"/>
      </w:pPr>
      <w:r>
        <w:t>Integrate standards into processes</w:t>
      </w:r>
    </w:p>
    <w:p>
      <w:pPr>
        <w:pStyle w:val="ListBullet"/>
      </w:pPr>
      <w:r>
        <w:t>Assign stewardship roles</w:t>
      </w:r>
    </w:p>
    <w:p>
      <w:pPr>
        <w:pStyle w:val="ListBullet"/>
      </w:pPr>
      <w:r>
        <w:t>Implement checkpoints for compliance</w:t>
      </w:r>
    </w:p>
    <w:p>
      <w:pPr>
        <w:pStyle w:val="ListBullet"/>
      </w:pPr>
      <w:r>
        <w:t>Monitor and report on implementation</w:t>
      </w:r>
    </w:p>
    <w:p>
      <w:pPr>
        <w:pStyle w:val="ListBullet"/>
      </w:pPr>
      <w:r>
        <w:t>Review and adjust standards</w:t>
      </w:r>
    </w:p>
    <w:p>
      <w:pPr>
        <w:pStyle w:val="ListBullet"/>
      </w:pPr>
      <w:r>
        <w:t>Document implementation log.</w:t>
      </w:r>
    </w:p>
    <w:p>
      <w:pPr>
        <w:pStyle w:val="Heading5"/>
      </w:pPr>
      <w:r>
        <w:t>Interfaces with Other Governance Structures: Interaction with other governance frameworks within the organization.</w:t>
      </w:r>
    </w:p>
    <w:p>
      <w:pPr>
        <w:pStyle w:val="Heading5"/>
      </w:pPr>
      <w:r>
        <w:t>Explicit Exclusions: Areas not covered by this governance framework.</w:t>
      </w:r>
    </w:p>
    <w:p>
      <w:pPr>
        <w:pStyle w:val="Heading4"/>
      </w:pPr>
      <w:r>
        <w:t>3.4.2.4 Control and Oversight Mechanisms</w:t>
      </w:r>
    </w:p>
    <w:p>
      <w:r>
        <w:rPr>
          <w:b/>
        </w:rPr>
        <w:t xml:space="preserve">Purpose: </w:t>
      </w:r>
      <w:r>
        <w:t>To define the formal control and oversight mechanisms applicable to this action.</w:t>
      </w:r>
    </w:p>
    <w:p>
      <w:pPr>
        <w:pStyle w:val="Heading5"/>
      </w:pPr>
      <w:r>
        <w:t>Monitoring and KPIs</w:t>
      </w:r>
    </w:p>
    <w:p>
      <w:pPr>
        <w:pStyle w:val="ListBullet"/>
      </w:pPr>
      <w:r>
        <w:t>Define measurable indicators aligned with the action objective</w:t>
      </w:r>
    </w:p>
    <w:p>
      <w:pPr>
        <w:pStyle w:val="ListBullet"/>
      </w:pPr>
      <w:r>
        <w:t>Define measurement frequency and reporting cadence</w:t>
      </w:r>
    </w:p>
    <w:p>
      <w:pPr>
        <w:pStyle w:val="ListBullet"/>
      </w:pPr>
      <w:r>
        <w:t>Identify data source for each KPI</w:t>
      </w:r>
    </w:p>
    <w:p>
      <w:pPr>
        <w:pStyle w:val="ListBullet"/>
      </w:pPr>
      <w:r>
        <w:t>Assign accountable monitoring role</w:t>
      </w:r>
    </w:p>
    <w:p>
      <w:pPr>
        <w:pStyle w:val="Heading5"/>
      </w:pPr>
      <w:r>
        <w:t>Compliance and Internal Control Alignment</w:t>
      </w:r>
    </w:p>
    <w:p>
      <w:pPr>
        <w:pStyle w:val="ListBullet"/>
      </w:pPr>
      <w:r>
        <w:t>Reference structured internal control mechanisms</w:t>
      </w:r>
    </w:p>
    <w:p>
      <w:pPr>
        <w:pStyle w:val="ListBullet"/>
      </w:pPr>
      <w:r>
        <w:t>Define validation checkpoints</w:t>
      </w:r>
    </w:p>
    <w:p>
      <w:pPr>
        <w:pStyle w:val="Heading5"/>
      </w:pPr>
      <w:r>
        <w:t>Operational Escalation Model</w:t>
      </w:r>
    </w:p>
    <w:p>
      <w:pPr>
        <w:pStyle w:val="ListBullet"/>
      </w:pPr>
      <w:r>
        <w:t>Define escalation thresholds</w:t>
      </w:r>
    </w:p>
    <w:p>
      <w:pPr>
        <w:pStyle w:val="ListBullet"/>
      </w:pPr>
      <w:r>
        <w:t>Assign responsible escalation authority</w:t>
      </w:r>
    </w:p>
    <w:p>
      <w:pPr>
        <w:pStyle w:val="ListBullet"/>
      </w:pPr>
      <w:r>
        <w:t>Define documented resolution workflow</w:t>
      </w:r>
    </w:p>
    <w:p>
      <w:pPr>
        <w:pStyle w:val="Heading2"/>
      </w:pPr>
      <w:r>
        <w:t>3.5 DA · Data Architecture</w:t>
      </w:r>
    </w:p>
    <w:p>
      <w:pPr>
        <w:pStyle w:val="Heading3"/>
      </w:pPr>
      <w:r>
        <w:t>3.5.1 Contextualization of the Assessed Domain</w:t>
      </w:r>
    </w:p>
    <w:p>
      <w:r>
        <w:rPr>
          <w:b/>
        </w:rPr>
        <w:t xml:space="preserve">Description: </w:t>
      </w:r>
      <w:r>
        <w:t>Items in this domain assess architectural principles, the presence of reference data architecture, the integration of business and data perspectives, and the alignment of structural definitions with organizational strategies. These elements are foundational mechanisms that enable scalable, sustainable governance. Research consistently shows that data architecture functions as a core structural layer that supports interoperability, consistency, lifecycle governance, and the controlled evolution of data assets across the enterprise (Legner et al., 2020)</w:t>
      </w:r>
    </w:p>
    <w:p>
      <w:r>
        <w:rPr>
          <w:b/>
        </w:rPr>
        <w:t xml:space="preserve">Objective: </w:t>
      </w:r>
      <w:r>
        <w:t>Define the specific domain and contextualize the governance action.</w:t>
      </w:r>
    </w:p>
    <w:p>
      <w:r>
        <w:rPr>
          <w:b/>
        </w:rPr>
        <w:t xml:space="preserve">Expected content: </w:t>
      </w:r>
      <w:r>
        <w:t>Domain definition, organizational context, and maturity positioning  based on the assessed maturity score.</w:t>
      </w:r>
    </w:p>
    <w:p>
      <w:pPr>
        <w:spacing w:after="120"/>
      </w:pPr>
      <w:r>
        <w:t>Current maturity grade: Level 3 (Defined).</w:t>
      </w:r>
    </w:p>
    <w:p>
      <w:pPr>
        <w:pStyle w:val="Heading4"/>
      </w:pPr>
      <w:r>
        <w:t>Organizational Context: This procedure applies to all data workflows within the organization.</w:t>
      </w:r>
    </w:p>
    <w:p>
      <w:pPr>
        <w:spacing w:after="120"/>
      </w:pPr>
      <w:r>
        <w:t>Triggered Action Code: DA-04</w:t>
      </w:r>
    </w:p>
    <w:p>
      <w:pPr>
        <w:pStyle w:val="Heading3"/>
      </w:pPr>
      <w:r>
        <w:t>3.5.2 Prescriptive Procedure Pack</w:t>
      </w:r>
    </w:p>
    <w:p>
      <w:pPr>
        <w:spacing w:after="120"/>
      </w:pPr>
      <w:r>
        <w:t>The prescriptive procedure package consolidates domain-specific actions and operational  mechanisms required to advance maturity to the next level.</w:t>
        <w:br/>
      </w:r>
    </w:p>
    <w:p>
      <w:pPr>
        <w:pStyle w:val="Heading4"/>
      </w:pPr>
      <w:r>
        <w:t>3.5.2.1 Action Definition</w:t>
      </w:r>
    </w:p>
    <w:p>
      <w:r>
        <w:rPr>
          <w:b/>
        </w:rPr>
        <w:t xml:space="preserve">Purpose: </w:t>
      </w:r>
      <w:r>
        <w:t>To clearly articulate the action being defined, including its objectives and scope.</w:t>
      </w:r>
    </w:p>
    <w:p>
      <w:r>
        <w:rPr>
          <w:b/>
        </w:rPr>
        <w:t xml:space="preserve">Expected content: </w:t>
      </w:r>
      <w:r>
        <w:t>Action code, title, objectives, and scope boundaries.</w:t>
      </w:r>
    </w:p>
    <w:p>
      <w:pPr>
        <w:pStyle w:val="Heading5"/>
      </w:pPr>
      <w:r>
        <w:t>Sample elements</w:t>
      </w:r>
    </w:p>
    <w:p>
      <w:pPr>
        <w:pStyle w:val="Heading5"/>
      </w:pPr>
      <w:r>
        <w:t>Action Code and Title: DA-04 - Embed architecture governance into workflows</w:t>
      </w:r>
    </w:p>
    <w:p>
      <w:pPr>
        <w:pStyle w:val="Heading5"/>
      </w:pPr>
      <w:r>
        <w:t>Action Objective: To integrate architecture governance checkpoints into existing workflows.</w:t>
      </w:r>
    </w:p>
    <w:p>
      <w:pPr>
        <w:pStyle w:val="Heading5"/>
      </w:pPr>
      <w:r>
        <w:t>Action Scope Boundaries: This action applies to all workflows involving data creation, transformation, and publication.</w:t>
      </w:r>
    </w:p>
    <w:p>
      <w:pPr>
        <w:pStyle w:val="Heading4"/>
      </w:pPr>
      <w:r>
        <w:t>3.5.2.2 Procedure Definition</w:t>
      </w:r>
    </w:p>
    <w:p>
      <w:r>
        <w:rPr>
          <w:b/>
        </w:rPr>
        <w:t xml:space="preserve">Purpose: </w:t>
      </w:r>
      <w:r>
        <w:t>To detail the step-by-step execution structure for the action, including prerequisites and deliverables.</w:t>
      </w:r>
    </w:p>
    <w:p>
      <w:r>
        <w:rPr>
          <w:b/>
        </w:rPr>
        <w:t xml:space="preserve">Expected content: </w:t>
      </w:r>
      <w:r>
        <w:t>Procedure objective, prerequisites, deliverables, and a structured execution framework.</w:t>
      </w:r>
    </w:p>
    <w:p>
      <w:pPr>
        <w:pStyle w:val="Heading5"/>
      </w:pPr>
      <w:r>
        <w:t>Sample elements</w:t>
      </w:r>
    </w:p>
    <w:p>
      <w:pPr>
        <w:pStyle w:val="Heading5"/>
      </w:pPr>
      <w:r>
        <w:t>Procedure Objective: To ensure architecture governance is embedded in workflows through defined checkpoints.</w:t>
      </w:r>
    </w:p>
    <w:p>
      <w:pPr>
        <w:pStyle w:val="Heading5"/>
      </w:pPr>
      <w:r>
        <w:t>Prerequisites: Requires DA-03 roles and standards.</w:t>
      </w:r>
    </w:p>
    <w:p>
      <w:pPr>
        <w:pStyle w:val="Heading5"/>
      </w:pPr>
      <w:r>
        <w:t>Deliverables: Updated workflow templates.</w:t>
      </w:r>
    </w:p>
    <w:p>
      <w:pPr>
        <w:pStyle w:val="Heading5"/>
      </w:pPr>
      <w:r>
        <w:t>Step-by-Step Execution Structure</w:t>
      </w:r>
    </w:p>
    <w:p>
      <w:pPr>
        <w:pStyle w:val="Heading4"/>
      </w:pPr>
      <w:r>
        <w:t>Sample elements</w:t>
      </w:r>
    </w:p>
    <w:p>
      <w:pPr>
        <w:spacing w:before="120" w:after="120"/>
      </w:pPr>
      <w:r>
        <w:rPr>
          <w:b/>
        </w:rPr>
        <w:t xml:space="preserve">Procedure number: </w:t>
      </w:r>
      <w:r>
        <w:t>1</w:t>
      </w:r>
    </w:p>
    <w:p>
      <w:pPr>
        <w:spacing w:before="120" w:after="120"/>
      </w:pPr>
      <w:r>
        <w:rPr>
          <w:b/>
        </w:rPr>
        <w:t xml:space="preserve">Name: </w:t>
      </w:r>
      <w:r>
        <w:t>Embed architecture checkpoints into domain workflows</w:t>
      </w:r>
    </w:p>
    <w:p>
      <w:pPr>
        <w:spacing w:before="120" w:after="120"/>
      </w:pPr>
      <w:r>
        <w:rPr>
          <w:b/>
        </w:rPr>
        <w:t xml:space="preserve">Prerequisite: </w:t>
      </w:r>
      <w:r>
        <w:t>Requires DA-03 roles and standards</w:t>
      </w:r>
    </w:p>
    <w:p>
      <w:pPr>
        <w:spacing w:before="120" w:after="120"/>
      </w:pPr>
      <w:r>
        <w:rPr>
          <w:b/>
        </w:rPr>
        <w:t xml:space="preserve">Deliverable: </w:t>
      </w:r>
      <w:r>
        <w:t>Updated workflow templates</w:t>
      </w:r>
    </w:p>
    <w:p>
      <w:r>
        <w:rPr>
          <w:b/>
        </w:rPr>
        <w:t>Recommendations:</w:t>
      </w:r>
    </w:p>
    <w:p>
      <w:pPr>
        <w:pStyle w:val="ListBullet"/>
      </w:pPr>
      <w:r>
        <w:t>Embed checkpoints using DAMA guidance for integrating structural controls into operational and analytical data processes as described in DMBOK2 (Chapter 3.3, p. 58–59).</w:t>
      </w:r>
    </w:p>
    <w:p>
      <w:pPr>
        <w:pStyle w:val="ListBullet"/>
      </w:pPr>
      <w:r>
        <w:t>Ensure checkpoints reflect DAMA lifecycle control expectations for creation, transformation, and publication (Chapter 4.3, p. 92).</w:t>
      </w:r>
    </w:p>
    <w:p>
      <w:pPr>
        <w:pStyle w:val="ListBullet"/>
      </w:pPr>
      <w:r>
        <w:t>Validate that each checkpoint addresses DAMA rules for metadata, lineage, and structural consistency (Chapters 10 and 11).</w:t>
      </w:r>
    </w:p>
    <w:p>
      <w:pPr>
        <w:pStyle w:val="ListBullet"/>
      </w:pPr>
      <w:r>
        <w:t>Confirm alignment with DAMA stewardship responsibilities to enforce decision boundaries at workflow steps (Chapter 4, p. 86–87).</w:t>
      </w:r>
    </w:p>
    <w:p>
      <w:r>
        <w:rPr>
          <w:b/>
        </w:rPr>
        <w:t>Notes:</w:t>
      </w:r>
    </w:p>
    <w:p>
      <w:pPr>
        <w:pStyle w:val="ListBullet"/>
      </w:pPr>
      <w:r>
        <w:t>Use DCAM workflow capability mapping to guarantee checkpoints reinforce enterprise architecture objectives.</w:t>
      </w:r>
    </w:p>
    <w:p>
      <w:pPr>
        <w:spacing w:before="240"/>
      </w:pPr>
    </w:p>
    <w:p>
      <w:pPr>
        <w:spacing w:before="120" w:after="120"/>
      </w:pPr>
      <w:r>
        <w:rPr>
          <w:b/>
        </w:rPr>
        <w:t xml:space="preserve">Procedure number: </w:t>
      </w:r>
      <w:r>
        <w:t>2</w:t>
      </w:r>
    </w:p>
    <w:p>
      <w:pPr>
        <w:spacing w:before="120" w:after="120"/>
      </w:pPr>
      <w:r>
        <w:rPr>
          <w:b/>
        </w:rPr>
        <w:t xml:space="preserve">Name: </w:t>
      </w:r>
      <w:r>
        <w:t>Integrate architecture criteria into modelling and integration decisions</w:t>
      </w:r>
    </w:p>
    <w:p>
      <w:pPr>
        <w:spacing w:before="120" w:after="120"/>
      </w:pPr>
      <w:r>
        <w:rPr>
          <w:b/>
        </w:rPr>
        <w:t xml:space="preserve">Prerequisite: </w:t>
      </w:r>
      <w:r>
        <w:t>Requires standards</w:t>
      </w:r>
    </w:p>
    <w:p>
      <w:pPr>
        <w:spacing w:before="120" w:after="120"/>
      </w:pPr>
      <w:r>
        <w:rPr>
          <w:b/>
        </w:rPr>
        <w:t xml:space="preserve">Deliverable: </w:t>
      </w:r>
      <w:r>
        <w:t>Governed design templates</w:t>
      </w:r>
    </w:p>
    <w:p>
      <w:r>
        <w:rPr>
          <w:b/>
        </w:rPr>
        <w:t>Recommendations:</w:t>
      </w:r>
    </w:p>
    <w:p>
      <w:pPr>
        <w:pStyle w:val="ListBullet"/>
      </w:pPr>
      <w:r>
        <w:t>Integrate criteria based on DAMA modelling and structural expectations which define how architecture must guide conceptual, logical, and physical design (Chapter 10, p. 282–284).</w:t>
      </w:r>
    </w:p>
    <w:p>
      <w:pPr>
        <w:pStyle w:val="ListBullet"/>
      </w:pPr>
      <w:r>
        <w:t>Ensure structural dependencies align with DAMA functional architecture governance covering semantic clarity and business meaning (Chapter 3.3, p. 58).</w:t>
      </w:r>
    </w:p>
    <w:p>
      <w:pPr>
        <w:pStyle w:val="ListBullet"/>
      </w:pPr>
      <w:r>
        <w:t>Validate integration decisions using DAMA quality and metadata rules (Chapter 11, p. 308–311).</w:t>
      </w:r>
    </w:p>
    <w:p>
      <w:pPr>
        <w:pStyle w:val="ListBullet"/>
      </w:pPr>
      <w:r>
        <w:t>Confirm alignment with DAMA stewardship responsibilities for definition and approval of modelling standards (Chapter 4, p. 86–89).</w:t>
      </w:r>
    </w:p>
    <w:p>
      <w:r>
        <w:rPr>
          <w:b/>
        </w:rPr>
        <w:t>Notes:</w:t>
      </w:r>
    </w:p>
    <w:p>
      <w:pPr>
        <w:pStyle w:val="ListBullet"/>
      </w:pPr>
      <w:r>
        <w:t>Use CMMI design verification logic to reinforce traceability and structural correctness.</w:t>
      </w:r>
    </w:p>
    <w:p>
      <w:pPr>
        <w:spacing w:before="240"/>
      </w:pPr>
    </w:p>
    <w:p>
      <w:pPr>
        <w:spacing w:before="120" w:after="120"/>
      </w:pPr>
      <w:r>
        <w:rPr>
          <w:b/>
        </w:rPr>
        <w:t xml:space="preserve">Procedure number: </w:t>
      </w:r>
      <w:r>
        <w:t>3</w:t>
      </w:r>
    </w:p>
    <w:p>
      <w:pPr>
        <w:spacing w:before="120" w:after="120"/>
      </w:pPr>
      <w:r>
        <w:rPr>
          <w:b/>
        </w:rPr>
        <w:t xml:space="preserve">Name: </w:t>
      </w:r>
      <w:r>
        <w:t>Update lifecycle documentation with architectural requirements</w:t>
      </w:r>
    </w:p>
    <w:p>
      <w:pPr>
        <w:spacing w:before="120" w:after="120"/>
      </w:pPr>
      <w:r>
        <w:rPr>
          <w:b/>
        </w:rPr>
        <w:t xml:space="preserve">Prerequisite: </w:t>
      </w:r>
      <w:r>
        <w:t>Requires workflow redesign</w:t>
      </w:r>
    </w:p>
    <w:p>
      <w:pPr>
        <w:spacing w:before="120" w:after="120"/>
      </w:pPr>
      <w:r>
        <w:rPr>
          <w:b/>
        </w:rPr>
        <w:t xml:space="preserve">Deliverable: </w:t>
      </w:r>
      <w:r>
        <w:t>Updated lifecycle documentation</w:t>
      </w:r>
    </w:p>
    <w:p>
      <w:r>
        <w:rPr>
          <w:b/>
        </w:rPr>
        <w:t>Recommendations:</w:t>
      </w:r>
    </w:p>
    <w:p>
      <w:pPr>
        <w:pStyle w:val="ListBullet"/>
      </w:pPr>
      <w:r>
        <w:t>Update documentation according to the DAMA lifecycle model, which defines checkpoints for governance of structural evolution (Chapter 4.3, p. 92).</w:t>
      </w:r>
    </w:p>
    <w:p>
      <w:pPr>
        <w:pStyle w:val="ListBullet"/>
      </w:pPr>
      <w:r>
        <w:t>Ensure architecture requirements remain aligned with DAMA expectations for metadata structure and lineage documentation (Chapter 10, p. 282).</w:t>
      </w:r>
    </w:p>
    <w:p>
      <w:pPr>
        <w:pStyle w:val="ListBullet"/>
      </w:pPr>
      <w:r>
        <w:t>Validate that lifecycle descriptions reflect DAMA responsibilities for owners and stewards (Chapter 4, p. 86–87).</w:t>
      </w:r>
    </w:p>
    <w:p>
      <w:pPr>
        <w:pStyle w:val="ListBullet"/>
      </w:pPr>
      <w:r>
        <w:t>Confirm that structural dependencies and change points follow DAMA governance rules (Chapter 3.5, p. 62–63).</w:t>
      </w:r>
    </w:p>
    <w:p>
      <w:r>
        <w:rPr>
          <w:b/>
        </w:rPr>
        <w:t>Notes:</w:t>
      </w:r>
    </w:p>
    <w:p>
      <w:pPr>
        <w:pStyle w:val="ListBullet"/>
      </w:pPr>
      <w:r>
        <w:t>Use DCAM lifecycle capability indicators to enhance consistency across lifecycle phases.</w:t>
      </w:r>
    </w:p>
    <w:p>
      <w:pPr>
        <w:spacing w:before="240"/>
      </w:pPr>
    </w:p>
    <w:p>
      <w:pPr>
        <w:spacing w:before="120" w:after="120"/>
      </w:pPr>
      <w:r>
        <w:rPr>
          <w:b/>
        </w:rPr>
        <w:t xml:space="preserve">Procedure number: </w:t>
      </w:r>
      <w:r>
        <w:t>4</w:t>
      </w:r>
    </w:p>
    <w:p>
      <w:pPr>
        <w:spacing w:before="120" w:after="120"/>
      </w:pPr>
      <w:r>
        <w:rPr>
          <w:b/>
        </w:rPr>
        <w:t xml:space="preserve">Name: </w:t>
      </w:r>
      <w:r>
        <w:t>Apply structural checks in domain decision points</w:t>
      </w:r>
    </w:p>
    <w:p>
      <w:pPr>
        <w:spacing w:before="120" w:after="120"/>
      </w:pPr>
      <w:r>
        <w:rPr>
          <w:b/>
        </w:rPr>
        <w:t xml:space="preserve">Prerequisite: </w:t>
      </w:r>
      <w:r>
        <w:t>Requires governed workflows</w:t>
      </w:r>
    </w:p>
    <w:p>
      <w:pPr>
        <w:spacing w:before="120" w:after="120"/>
      </w:pPr>
      <w:r>
        <w:rPr>
          <w:b/>
        </w:rPr>
        <w:t xml:space="preserve">Deliverable: </w:t>
      </w:r>
      <w:r>
        <w:t>Evidence of architectural controls</w:t>
      </w:r>
    </w:p>
    <w:p>
      <w:r>
        <w:rPr>
          <w:b/>
        </w:rPr>
        <w:t>Recommendations:</w:t>
      </w:r>
    </w:p>
    <w:p>
      <w:pPr>
        <w:pStyle w:val="ListBullet"/>
      </w:pPr>
      <w:r>
        <w:t>Apply checks following DAMA structural governance expectations that require validation of models, relationships, and semantics before approvals (Chapter 3.3, p. 58).</w:t>
      </w:r>
    </w:p>
    <w:p>
      <w:pPr>
        <w:pStyle w:val="ListBullet"/>
      </w:pPr>
      <w:r>
        <w:t>Ensure checks incorporate metadata, lineage, and semantic quality indicators from DAMA (Chapters 10 and 11).</w:t>
      </w:r>
    </w:p>
    <w:p>
      <w:pPr>
        <w:pStyle w:val="ListBullet"/>
      </w:pPr>
      <w:r>
        <w:t>Validate that decision points enforce stewardship responsibilities, including approval, escalation, and corrective action (Chapter 4, p. 86–89).</w:t>
      </w:r>
    </w:p>
    <w:p>
      <w:pPr>
        <w:pStyle w:val="ListBullet"/>
      </w:pPr>
      <w:r>
        <w:t>Confirm that structural checks remain aligned with DAMA lifecycle checkpoints (Chapter 4.3, p. 92).</w:t>
      </w:r>
    </w:p>
    <w:p>
      <w:r>
        <w:rPr>
          <w:b/>
        </w:rPr>
        <w:t>Notes:</w:t>
      </w:r>
    </w:p>
    <w:p>
      <w:pPr>
        <w:pStyle w:val="ListBullet"/>
      </w:pPr>
      <w:r>
        <w:t>Use CMMI verification activities to strengthen the repeatability of the architectural control application.</w:t>
      </w:r>
    </w:p>
    <w:p>
      <w:pPr>
        <w:spacing w:before="240"/>
      </w:pPr>
    </w:p>
    <w:p>
      <w:pPr>
        <w:spacing w:before="120" w:after="120"/>
      </w:pPr>
      <w:r>
        <w:rPr>
          <w:b/>
        </w:rPr>
        <w:t xml:space="preserve">Procedure number: </w:t>
      </w:r>
      <w:r>
        <w:t>5</w:t>
      </w:r>
    </w:p>
    <w:p>
      <w:pPr>
        <w:spacing w:before="120" w:after="120"/>
      </w:pPr>
      <w:r>
        <w:rPr>
          <w:b/>
        </w:rPr>
        <w:t xml:space="preserve">Name: </w:t>
      </w:r>
      <w:r>
        <w:t>Track architectural adherence across domains</w:t>
      </w:r>
    </w:p>
    <w:p>
      <w:pPr>
        <w:spacing w:before="120" w:after="120"/>
      </w:pPr>
      <w:r>
        <w:rPr>
          <w:b/>
        </w:rPr>
        <w:t xml:space="preserve">Prerequisite: </w:t>
      </w:r>
      <w:r>
        <w:t>Requires monitoring routines</w:t>
      </w:r>
    </w:p>
    <w:p>
      <w:pPr>
        <w:spacing w:before="120" w:after="120"/>
      </w:pPr>
      <w:r>
        <w:rPr>
          <w:b/>
        </w:rPr>
        <w:t xml:space="preserve">Deliverable: </w:t>
      </w:r>
      <w:r>
        <w:t>Architecture compliance register</w:t>
      </w:r>
    </w:p>
    <w:p>
      <w:r>
        <w:rPr>
          <w:b/>
        </w:rPr>
        <w:t>Recommendations:</w:t>
      </w:r>
    </w:p>
    <w:p>
      <w:pPr>
        <w:pStyle w:val="ListBullet"/>
      </w:pPr>
      <w:r>
        <w:t>Track adherence using DAMA’s governance monitoring expectations that emphasize structural consistency and cross-domain alignment (Chapter 3.6, p. 64).</w:t>
      </w:r>
    </w:p>
    <w:p>
      <w:pPr>
        <w:pStyle w:val="ListBullet"/>
      </w:pPr>
      <w:r>
        <w:t>Ensure that adherence checks include metadata and semantic controls defined by DAMA (Chapter 10, p. 282–284).</w:t>
      </w:r>
    </w:p>
    <w:p>
      <w:pPr>
        <w:pStyle w:val="ListBullet"/>
      </w:pPr>
      <w:r>
        <w:t>Validate deviations against DAMA lifecycle role expectations (Chapter 4.3, p. 92).</w:t>
      </w:r>
    </w:p>
    <w:p>
      <w:pPr>
        <w:pStyle w:val="ListBullet"/>
      </w:pPr>
      <w:r>
        <w:t>Confirm that evidence capture follows DAMA artefact documentation practices (Chapter 3 Appendix, p. 69).</w:t>
      </w:r>
    </w:p>
    <w:p>
      <w:r>
        <w:rPr>
          <w:b/>
        </w:rPr>
        <w:t>Notes:</w:t>
      </w:r>
    </w:p>
    <w:p>
      <w:pPr>
        <w:pStyle w:val="ListBullet"/>
      </w:pPr>
      <w:r>
        <w:t>Use DCAM assurance indicators to identify structural hotspots and areas for improvement.</w:t>
      </w:r>
    </w:p>
    <w:p>
      <w:pPr>
        <w:spacing w:before="240"/>
      </w:pPr>
    </w:p>
    <w:p>
      <w:pPr>
        <w:spacing w:before="120" w:after="120"/>
      </w:pPr>
      <w:r>
        <w:rPr>
          <w:b/>
        </w:rPr>
        <w:t xml:space="preserve">Procedure number: </w:t>
      </w:r>
      <w:r>
        <w:t>6</w:t>
      </w:r>
    </w:p>
    <w:p>
      <w:pPr>
        <w:spacing w:before="120" w:after="120"/>
      </w:pPr>
      <w:r>
        <w:rPr>
          <w:b/>
        </w:rPr>
        <w:t xml:space="preserve">Name: </w:t>
      </w:r>
      <w:r>
        <w:t>Structural Institutionalization Reinforcement</w:t>
      </w:r>
    </w:p>
    <w:p>
      <w:pPr>
        <w:spacing w:before="120" w:after="120"/>
      </w:pPr>
      <w:r>
        <w:rPr>
          <w:b/>
        </w:rPr>
        <w:t xml:space="preserve">Prerequisite: </w:t>
      </w:r>
      <w:r>
        <w:t>Requires approved governance mechanism and formalized policy baseline</w:t>
      </w:r>
    </w:p>
    <w:p>
      <w:pPr>
        <w:spacing w:before="120" w:after="120"/>
      </w:pPr>
      <w:r>
        <w:rPr>
          <w:b/>
        </w:rPr>
        <w:t xml:space="preserve">Deliverable: </w:t>
      </w:r>
      <w:r>
        <w:t>Institutionalized governance procedure with assigned control owner and documented evidence of repeatable execution</w:t>
      </w:r>
    </w:p>
    <w:p>
      <w:r>
        <w:rPr>
          <w:b/>
        </w:rPr>
        <w:t>Recommendations:</w:t>
      </w:r>
    </w:p>
    <w:p>
      <w:pPr>
        <w:pStyle w:val="ListBullet"/>
      </w:pPr>
      <w:r>
        <w:t>Assign a formally accountable Control Owner responsible for sustaining the governance mechanism.</w:t>
      </w:r>
    </w:p>
    <w:p>
      <w:pPr>
        <w:pStyle w:val="ListBullet"/>
      </w:pPr>
      <w:r>
        <w:t>Define objective acceptance criteria confirming stable and consistent execution.</w:t>
      </w:r>
    </w:p>
    <w:p>
      <w:pPr>
        <w:pStyle w:val="ListBullet"/>
      </w:pPr>
      <w:r>
        <w:t>Produce documented artefacts evidencing repeatable operational application.</w:t>
      </w:r>
    </w:p>
    <w:p>
      <w:pPr>
        <w:pStyle w:val="ListBullet"/>
      </w:pPr>
      <w:r>
        <w:t>Ensure integration into established organizational routines.</w:t>
      </w:r>
    </w:p>
    <w:p>
      <w:pPr>
        <w:pStyle w:val="ListBullet"/>
      </w:pPr>
      <w:r>
        <w:t>Maintain traceability between the governance mechanism and governing policy.</w:t>
      </w:r>
    </w:p>
    <w:p>
      <w:pPr>
        <w:pStyle w:val="ListBullet"/>
      </w:pPr>
      <w:r>
        <w:t>Map Existing Workflows</w:t>
      </w:r>
    </w:p>
    <w:p>
      <w:pPr>
        <w:pStyle w:val="ListBullet"/>
      </w:pPr>
      <w:r>
        <w:t>Define Checkpoints</w:t>
      </w:r>
    </w:p>
    <w:p>
      <w:pPr>
        <w:pStyle w:val="ListBullet"/>
      </w:pPr>
      <w:r>
        <w:t>Create Standardized Templates</w:t>
      </w:r>
    </w:p>
    <w:p>
      <w:pPr>
        <w:pStyle w:val="ListBullet"/>
      </w:pPr>
      <w:r>
        <w:t>Assign Roles and Responsibilities</w:t>
      </w:r>
    </w:p>
    <w:p>
      <w:pPr>
        <w:pStyle w:val="ListBullet"/>
      </w:pPr>
      <w:r>
        <w:t>Validate Alignment with DCAM</w:t>
      </w:r>
    </w:p>
    <w:p>
      <w:pPr>
        <w:pStyle w:val="ListBullet"/>
      </w:pPr>
      <w:r>
        <w:t>Stakeholder Review and Approval</w:t>
      </w:r>
    </w:p>
    <w:p>
      <w:pPr>
        <w:pStyle w:val="ListBullet"/>
      </w:pPr>
      <w:r>
        <w:t>Communicate and Train</w:t>
      </w:r>
    </w:p>
    <w:p>
      <w:pPr>
        <w:pStyle w:val="ListBullet"/>
      </w:pPr>
      <w:r>
        <w:t>Monitor and Iterate</w:t>
      </w:r>
    </w:p>
    <w:p>
      <w:pPr>
        <w:pStyle w:val="Heading4"/>
      </w:pPr>
      <w:r>
        <w:t>3.5.2.3 Governance Structural Components</w:t>
      </w:r>
    </w:p>
    <w:p>
      <w:r>
        <w:rPr>
          <w:b/>
        </w:rPr>
        <w:t xml:space="preserve">Purpose: </w:t>
      </w:r>
      <w:r>
        <w:t>To outline the governance framework that supports the action, including roles, responsibilities, and processes.</w:t>
      </w:r>
    </w:p>
    <w:p>
      <w:r>
        <w:rPr>
          <w:b/>
        </w:rPr>
        <w:t xml:space="preserve">Expected content: </w:t>
      </w:r>
      <w:r>
        <w:t>Coverage of organizational and data assets, governance themes, structure, decision authority, processes, interfaces, and exclusions.</w:t>
      </w:r>
    </w:p>
    <w:p>
      <w:pPr>
        <w:pStyle w:val="Heading5"/>
      </w:pPr>
      <w:r>
        <w:t>Sample elements</w:t>
      </w:r>
    </w:p>
    <w:p>
      <w:pPr>
        <w:pStyle w:val="Heading5"/>
      </w:pPr>
      <w:r>
        <w:t>Organizational Coverage: All departments involved in data management.</w:t>
      </w:r>
    </w:p>
    <w:p>
      <w:pPr>
        <w:pStyle w:val="Heading5"/>
      </w:pPr>
      <w:r>
        <w:t>Data Asset Coverage: All data assets subject to governance.</w:t>
      </w:r>
    </w:p>
    <w:p>
      <w:pPr>
        <w:pStyle w:val="Heading5"/>
      </w:pPr>
      <w:r>
        <w:t>Governance Themes: Data quality, compliance, and architecture alignment.</w:t>
      </w:r>
    </w:p>
    <w:p>
      <w:pPr>
        <w:pStyle w:val="Heading5"/>
      </w:pPr>
      <w:r>
        <w:t>Governance Organizational Structure: Data Governance Council, Data Governance Office, Data Owners, Data Stewards, Data Custodians.</w:t>
      </w:r>
    </w:p>
    <w:p>
      <w:pPr>
        <w:pStyle w:val="Heading5"/>
      </w:pPr>
      <w:r>
        <w:t>Decision Authority Model: Defined roles for decision-making within the governance framework.</w:t>
      </w:r>
    </w:p>
    <w:p>
      <w:pPr>
        <w:pStyle w:val="Heading5"/>
      </w:pPr>
      <w:r>
        <w:t>Governance Processes</w:t>
      </w:r>
    </w:p>
    <w:p>
      <w:pPr>
        <w:pStyle w:val="ListBullet"/>
      </w:pPr>
      <w:r>
        <w:t>Establish checkpoints in workflows</w:t>
      </w:r>
    </w:p>
    <w:p>
      <w:pPr>
        <w:pStyle w:val="ListBullet"/>
      </w:pPr>
      <w:r>
        <w:t>Monitor compliance with governance standards</w:t>
      </w:r>
    </w:p>
    <w:p>
      <w:pPr>
        <w:pStyle w:val="ListBullet"/>
      </w:pPr>
      <w:r>
        <w:t>Review and approve workflow templates</w:t>
      </w:r>
    </w:p>
    <w:p>
      <w:pPr>
        <w:pStyle w:val="ListBullet"/>
      </w:pPr>
      <w:r>
        <w:t>Conduct training sessions</w:t>
      </w:r>
    </w:p>
    <w:p>
      <w:pPr>
        <w:pStyle w:val="ListBullet"/>
      </w:pPr>
      <w:r>
        <w:t>Perform regular audits</w:t>
      </w:r>
    </w:p>
    <w:p>
      <w:pPr>
        <w:pStyle w:val="Heading5"/>
      </w:pPr>
      <w:r>
        <w:t>Interfaces with Other Governance Structures: Coordination with other governance domains as necessary.</w:t>
      </w:r>
    </w:p>
    <w:p>
      <w:pPr>
        <w:pStyle w:val="Heading5"/>
      </w:pPr>
      <w:r>
        <w:t>Explicit Exclusions: Any workflows not involving data governance principles.</w:t>
      </w:r>
    </w:p>
    <w:p>
      <w:pPr>
        <w:pStyle w:val="Heading4"/>
      </w:pPr>
      <w:r>
        <w:t>3.5.2.4 Control and Oversight Mechanisms</w:t>
      </w:r>
    </w:p>
    <w:p>
      <w:r>
        <w:rPr>
          <w:b/>
        </w:rPr>
        <w:t xml:space="preserve">Purpose: </w:t>
      </w:r>
      <w:r>
        <w:t>To define the formal control and oversight mechanisms applicable to this action.</w:t>
      </w:r>
    </w:p>
    <w:p>
      <w:pPr>
        <w:pStyle w:val="Heading5"/>
      </w:pPr>
      <w:r>
        <w:t>Monitoring and KPIs</w:t>
      </w:r>
    </w:p>
    <w:p>
      <w:pPr>
        <w:pStyle w:val="ListBullet"/>
      </w:pPr>
      <w:r>
        <w:t>Define measurable indicators aligned with the action objective</w:t>
      </w:r>
    </w:p>
    <w:p>
      <w:pPr>
        <w:pStyle w:val="ListBullet"/>
      </w:pPr>
      <w:r>
        <w:t>Define measurement frequency and reporting cadence</w:t>
      </w:r>
    </w:p>
    <w:p>
      <w:pPr>
        <w:pStyle w:val="ListBullet"/>
      </w:pPr>
      <w:r>
        <w:t>Identify data source for each KPI</w:t>
      </w:r>
    </w:p>
    <w:p>
      <w:pPr>
        <w:pStyle w:val="ListBullet"/>
      </w:pPr>
      <w:r>
        <w:t>Assign accountable monitoring role</w:t>
      </w:r>
    </w:p>
    <w:p>
      <w:pPr>
        <w:pStyle w:val="Heading5"/>
      </w:pPr>
      <w:r>
        <w:t>Compliance and Internal Control Alignment</w:t>
      </w:r>
    </w:p>
    <w:p>
      <w:pPr>
        <w:pStyle w:val="ListBullet"/>
      </w:pPr>
      <w:r>
        <w:t>Reference structured internal control mechanisms</w:t>
      </w:r>
    </w:p>
    <w:p>
      <w:pPr>
        <w:pStyle w:val="ListBullet"/>
      </w:pPr>
      <w:r>
        <w:t>Define validation checkpoints</w:t>
      </w:r>
    </w:p>
    <w:p>
      <w:pPr>
        <w:pStyle w:val="Heading5"/>
      </w:pPr>
      <w:r>
        <w:t>Operational Escalation Model</w:t>
      </w:r>
    </w:p>
    <w:p>
      <w:pPr>
        <w:pStyle w:val="ListBullet"/>
      </w:pPr>
      <w:r>
        <w:t>Define escalation thresholds</w:t>
      </w:r>
    </w:p>
    <w:p>
      <w:pPr>
        <w:pStyle w:val="ListBullet"/>
      </w:pPr>
      <w:r>
        <w:t>Assign responsible escalation authority</w:t>
      </w:r>
    </w:p>
    <w:p>
      <w:pPr>
        <w:pStyle w:val="ListBullet"/>
      </w:pPr>
      <w:r>
        <w:t>Define documented resolution workflow</w:t>
      </w:r>
    </w:p>
    <w:p>
      <w:pPr>
        <w:pStyle w:val="Heading2"/>
      </w:pPr>
      <w:r>
        <w:t>3.6 DMD · Data Modelling and Design</w:t>
      </w:r>
    </w:p>
    <w:p>
      <w:pPr>
        <w:pStyle w:val="Heading3"/>
      </w:pPr>
      <w:r>
        <w:t>3.6.1 Contextualization of the Assessed Domain</w:t>
      </w:r>
    </w:p>
    <w:p>
      <w:r>
        <w:rPr>
          <w:b/>
        </w:rPr>
        <w:t xml:space="preserve">Description: </w:t>
      </w:r>
      <w:r>
        <w:t>This domain examines conceptual, logical, and physical modelling practices, the standards that govern their creation and maintenance, and the degree to which structural definitions align with business semantics. Modelling provides the structural foundation for Data Governance by establishing shared meaning, coherent data structures, and traceable relationships across the organization. This aligns with DAMA’s classification of modelling as a core structural function that enables consistency, interoperability, and reliable data lifecycle management (DAMA International, 2017).</w:t>
      </w:r>
    </w:p>
    <w:p>
      <w:r>
        <w:rPr>
          <w:b/>
        </w:rPr>
        <w:t xml:space="preserve">Objective: </w:t>
      </w:r>
      <w:r>
        <w:t>Define the specific domain and contextualize the governance action.</w:t>
      </w:r>
    </w:p>
    <w:p>
      <w:r>
        <w:rPr>
          <w:b/>
        </w:rPr>
        <w:t xml:space="preserve">Expected content: </w:t>
      </w:r>
      <w:r>
        <w:t>Domain definition, organizational context, and maturity positioning  based on the assessed maturity score.</w:t>
      </w:r>
    </w:p>
    <w:p>
      <w:pPr>
        <w:spacing w:after="120"/>
      </w:pPr>
      <w:r>
        <w:t>Current maturity grade: Level 3 (Defined).</w:t>
      </w:r>
    </w:p>
    <w:p>
      <w:pPr>
        <w:pStyle w:val="Heading4"/>
      </w:pPr>
      <w:r>
        <w:t>Organizational Context: Medium-sized enterprise with a focus on data-driven decision-making.</w:t>
      </w:r>
    </w:p>
    <w:p>
      <w:pPr>
        <w:spacing w:after="120"/>
      </w:pPr>
      <w:r>
        <w:t>Triggered Action Code: DMD-04</w:t>
      </w:r>
    </w:p>
    <w:p>
      <w:pPr>
        <w:pStyle w:val="Heading3"/>
      </w:pPr>
      <w:r>
        <w:t>3.6.2 Prescriptive Procedure Pack</w:t>
      </w:r>
    </w:p>
    <w:p>
      <w:pPr>
        <w:spacing w:after="120"/>
      </w:pPr>
      <w:r>
        <w:t>The prescriptive procedure package consolidates domain-specific actions and operational  mechanisms required to advance maturity to the next level.</w:t>
        <w:br/>
      </w:r>
    </w:p>
    <w:p>
      <w:pPr>
        <w:pStyle w:val="Heading4"/>
      </w:pPr>
      <w:r>
        <w:t>3.6.2.1 Action Definition</w:t>
      </w:r>
    </w:p>
    <w:p>
      <w:r>
        <w:rPr>
          <w:b/>
        </w:rPr>
        <w:t xml:space="preserve">Purpose: </w:t>
      </w:r>
      <w:r>
        <w:t>To clarify the specific action being addressed in the document.</w:t>
      </w:r>
    </w:p>
    <w:p>
      <w:r>
        <w:rPr>
          <w:b/>
        </w:rPr>
        <w:t xml:space="preserve">Expected content: </w:t>
      </w:r>
      <w:r>
        <w:t>Action code, title, objective, and scope boundaries.</w:t>
      </w:r>
    </w:p>
    <w:p>
      <w:pPr>
        <w:pStyle w:val="Heading5"/>
      </w:pPr>
      <w:r>
        <w:t>Sample elements</w:t>
      </w:r>
    </w:p>
    <w:p>
      <w:pPr>
        <w:pStyle w:val="Heading5"/>
      </w:pPr>
      <w:r>
        <w:t>Action Code and Title: DMD-04 - Embed modelling governance into organizational and domain routines</w:t>
      </w:r>
    </w:p>
    <w:p>
      <w:pPr>
        <w:pStyle w:val="Heading5"/>
      </w:pPr>
      <w:r>
        <w:t>Action Objective: To integrate structured modelling checkpoints into workflows.</w:t>
      </w:r>
    </w:p>
    <w:p>
      <w:pPr>
        <w:pStyle w:val="Heading5"/>
      </w:pPr>
      <w:r>
        <w:t>Action Scope Boundaries: Applicable to all data-related workflows within the DMD.</w:t>
      </w:r>
    </w:p>
    <w:p>
      <w:pPr>
        <w:pStyle w:val="Heading4"/>
      </w:pPr>
      <w:r>
        <w:t>3.6.2.2 Procedure Definition</w:t>
      </w:r>
    </w:p>
    <w:p>
      <w:r>
        <w:rPr>
          <w:b/>
        </w:rPr>
        <w:t xml:space="preserve">Purpose: </w:t>
      </w:r>
      <w:r>
        <w:t>To detail the procedural steps necessary for implementation.</w:t>
      </w:r>
    </w:p>
    <w:p>
      <w:r>
        <w:rPr>
          <w:b/>
        </w:rPr>
        <w:t xml:space="preserve">Expected content: </w:t>
      </w:r>
      <w:r>
        <w:t>Objective, prerequisites, deliverables, and step-by-step execution structure.</w:t>
      </w:r>
    </w:p>
    <w:p>
      <w:pPr>
        <w:pStyle w:val="Heading5"/>
      </w:pPr>
      <w:r>
        <w:t>Sample elements</w:t>
      </w:r>
    </w:p>
    <w:p>
      <w:pPr>
        <w:pStyle w:val="Heading5"/>
      </w:pPr>
      <w:r>
        <w:t>Procedure Objective: To ensure compliance with modelling governance through structured checkpoints.</w:t>
      </w:r>
    </w:p>
    <w:p>
      <w:pPr>
        <w:pStyle w:val="Heading5"/>
      </w:pPr>
      <w:r>
        <w:t>Prerequisites: Requires DMD-03 roles and standards.</w:t>
      </w:r>
    </w:p>
    <w:p>
      <w:pPr>
        <w:pStyle w:val="Heading5"/>
      </w:pPr>
      <w:r>
        <w:t>Deliverables: Updated workflow templates.</w:t>
      </w:r>
    </w:p>
    <w:p>
      <w:pPr>
        <w:pStyle w:val="Heading5"/>
      </w:pPr>
      <w:r>
        <w:t>Step-by-Step Execution Structure</w:t>
      </w:r>
    </w:p>
    <w:p>
      <w:pPr>
        <w:pStyle w:val="Heading4"/>
      </w:pPr>
      <w:r>
        <w:t>Sample elements</w:t>
      </w:r>
    </w:p>
    <w:p>
      <w:pPr>
        <w:spacing w:before="120" w:after="120"/>
      </w:pPr>
      <w:r>
        <w:rPr>
          <w:b/>
        </w:rPr>
        <w:t xml:space="preserve">Procedure number: </w:t>
      </w:r>
      <w:r>
        <w:t>1</w:t>
      </w:r>
    </w:p>
    <w:p>
      <w:pPr>
        <w:spacing w:before="120" w:after="120"/>
      </w:pPr>
      <w:r>
        <w:rPr>
          <w:b/>
        </w:rPr>
        <w:t xml:space="preserve">Name: </w:t>
      </w:r>
      <w:r>
        <w:t>Embed modelling checkpoints into domain workflows</w:t>
      </w:r>
    </w:p>
    <w:p>
      <w:pPr>
        <w:spacing w:before="120" w:after="120"/>
      </w:pPr>
      <w:r>
        <w:rPr>
          <w:b/>
        </w:rPr>
        <w:t xml:space="preserve">Prerequisite: </w:t>
      </w:r>
      <w:r>
        <w:t>Requires DMD-03 roles and standards</w:t>
      </w:r>
    </w:p>
    <w:p>
      <w:pPr>
        <w:spacing w:before="120" w:after="120"/>
      </w:pPr>
      <w:r>
        <w:rPr>
          <w:b/>
        </w:rPr>
        <w:t xml:space="preserve">Deliverable: </w:t>
      </w:r>
      <w:r>
        <w:t>Updated workflow templates</w:t>
      </w:r>
    </w:p>
    <w:p>
      <w:r>
        <w:rPr>
          <w:b/>
        </w:rPr>
        <w:t>Recommendations:</w:t>
      </w:r>
    </w:p>
    <w:p>
      <w:pPr>
        <w:pStyle w:val="ListBullet"/>
      </w:pPr>
      <w:r>
        <w:t>Embed modelling checkpoints using DAMA guidance for integrating modelling rules into data creation, transformation, and validation activities (Chapter 3.3, p. 58–59).</w:t>
      </w:r>
    </w:p>
    <w:p>
      <w:pPr>
        <w:pStyle w:val="ListBullet"/>
      </w:pPr>
      <w:r>
        <w:t>Ensure checkpoints reflect DAMA lifecycle expectations for definition, approval, publication, and retirement (Chapter 4.3, p. 92).</w:t>
      </w:r>
    </w:p>
    <w:p>
      <w:pPr>
        <w:pStyle w:val="ListBullet"/>
      </w:pPr>
      <w:r>
        <w:t>Validate that checkpoints incorporate semantic and metadata rules described by DAMA for modelling functions (Chapter 10, p. 282–284).</w:t>
      </w:r>
    </w:p>
    <w:p>
      <w:pPr>
        <w:pStyle w:val="ListBullet"/>
      </w:pPr>
      <w:r>
        <w:t>Confirm that assigned stewards perform modelling oversight according to DAMA stewardship guidelines (Chapter 4, p. 86–89).</w:t>
      </w:r>
    </w:p>
    <w:p>
      <w:r>
        <w:rPr>
          <w:b/>
        </w:rPr>
        <w:t>Notes:</w:t>
      </w:r>
    </w:p>
    <w:p>
      <w:pPr>
        <w:pStyle w:val="ListBullet"/>
      </w:pPr>
      <w:r>
        <w:t>Use DCAM workflow alignment guidance to ensure semantic controls are applied consistently across processes.</w:t>
      </w:r>
    </w:p>
    <w:p>
      <w:pPr>
        <w:spacing w:before="240"/>
      </w:pPr>
    </w:p>
    <w:p>
      <w:pPr>
        <w:spacing w:before="120" w:after="120"/>
      </w:pPr>
      <w:r>
        <w:rPr>
          <w:b/>
        </w:rPr>
        <w:t xml:space="preserve">Procedure number: </w:t>
      </w:r>
      <w:r>
        <w:t>2</w:t>
      </w:r>
    </w:p>
    <w:p>
      <w:pPr>
        <w:spacing w:before="120" w:after="120"/>
      </w:pPr>
      <w:r>
        <w:rPr>
          <w:b/>
        </w:rPr>
        <w:t xml:space="preserve">Name: </w:t>
      </w:r>
      <w:r>
        <w:t>Integrate modelling criteria into system design and integration workflows</w:t>
      </w:r>
    </w:p>
    <w:p>
      <w:pPr>
        <w:spacing w:before="120" w:after="120"/>
      </w:pPr>
      <w:r>
        <w:rPr>
          <w:b/>
        </w:rPr>
        <w:t xml:space="preserve">Prerequisite: </w:t>
      </w:r>
      <w:r>
        <w:t>Requires standards</w:t>
      </w:r>
    </w:p>
    <w:p>
      <w:pPr>
        <w:spacing w:before="120" w:after="120"/>
      </w:pPr>
      <w:r>
        <w:rPr>
          <w:b/>
        </w:rPr>
        <w:t xml:space="preserve">Deliverable: </w:t>
      </w:r>
      <w:r>
        <w:t>Governed design templates</w:t>
      </w:r>
    </w:p>
    <w:p>
      <w:r>
        <w:rPr>
          <w:b/>
        </w:rPr>
        <w:t>Recommendations:</w:t>
      </w:r>
    </w:p>
    <w:p>
      <w:pPr>
        <w:pStyle w:val="ListBullet"/>
      </w:pPr>
      <w:r>
        <w:t>Integrate criteria using DAMA’s modelling and structural expectations that define conceptual and logical alignment across systems (Chapter 10, p. 282).</w:t>
      </w:r>
    </w:p>
    <w:p>
      <w:pPr>
        <w:pStyle w:val="ListBullet"/>
      </w:pPr>
      <w:r>
        <w:t>Ensure integration decisions reflect DAMA metadata rules for naming, definition, and lineage (Chapter 9, p. 236).</w:t>
      </w:r>
    </w:p>
    <w:p>
      <w:pPr>
        <w:pStyle w:val="ListBullet"/>
      </w:pPr>
      <w:r>
        <w:t>Validate lifecycle alignment following DAMA stewardship checkpoints such as definition, approval, and publication (Chapter 4.3, p. 92).</w:t>
      </w:r>
    </w:p>
    <w:p>
      <w:pPr>
        <w:pStyle w:val="ListBullet"/>
      </w:pPr>
      <w:r>
        <w:t>Confirm that business meaning is preserved according to DAMA semantic coherence principles (Chapter 3.3, p. 58).</w:t>
      </w:r>
    </w:p>
    <w:p>
      <w:r>
        <w:rPr>
          <w:b/>
        </w:rPr>
        <w:t>Notes:</w:t>
      </w:r>
    </w:p>
    <w:p>
      <w:pPr>
        <w:pStyle w:val="ListBullet"/>
      </w:pPr>
      <w:r>
        <w:t>Apply CMMI design verification methods to strengthen semantic consistency across system components.</w:t>
      </w:r>
    </w:p>
    <w:p>
      <w:pPr>
        <w:spacing w:before="240"/>
      </w:pPr>
    </w:p>
    <w:p>
      <w:pPr>
        <w:spacing w:before="120" w:after="120"/>
      </w:pPr>
      <w:r>
        <w:rPr>
          <w:b/>
        </w:rPr>
        <w:t xml:space="preserve">Procedure number: </w:t>
      </w:r>
      <w:r>
        <w:t>3</w:t>
      </w:r>
    </w:p>
    <w:p>
      <w:pPr>
        <w:spacing w:before="120" w:after="120"/>
      </w:pPr>
      <w:r>
        <w:rPr>
          <w:b/>
        </w:rPr>
        <w:t xml:space="preserve">Name: </w:t>
      </w:r>
      <w:r>
        <w:t>Update lifecycle documentation with modelling requirements</w:t>
      </w:r>
    </w:p>
    <w:p>
      <w:pPr>
        <w:spacing w:before="120" w:after="120"/>
      </w:pPr>
      <w:r>
        <w:rPr>
          <w:b/>
        </w:rPr>
        <w:t xml:space="preserve">Prerequisite: </w:t>
      </w:r>
      <w:r>
        <w:t>Requires workflow redesign</w:t>
      </w:r>
    </w:p>
    <w:p>
      <w:pPr>
        <w:spacing w:before="120" w:after="120"/>
      </w:pPr>
      <w:r>
        <w:rPr>
          <w:b/>
        </w:rPr>
        <w:t xml:space="preserve">Deliverable: </w:t>
      </w:r>
      <w:r>
        <w:t>Updated lifecycle documentation</w:t>
      </w:r>
    </w:p>
    <w:p>
      <w:r>
        <w:rPr>
          <w:b/>
        </w:rPr>
        <w:t>Recommendations:</w:t>
      </w:r>
    </w:p>
    <w:p>
      <w:pPr>
        <w:pStyle w:val="ListBullet"/>
      </w:pPr>
      <w:r>
        <w:t>Update documentation using DAMA lifecycle guidance for modelling and data definition governance (Chapter 4.3, p. 92).</w:t>
      </w:r>
    </w:p>
    <w:p>
      <w:pPr>
        <w:pStyle w:val="ListBullet"/>
      </w:pPr>
      <w:r>
        <w:t>Ensure alignment with DAMA metadata structures and semantic rules (Chapter 10, p. 282–284).</w:t>
      </w:r>
    </w:p>
    <w:p>
      <w:pPr>
        <w:pStyle w:val="ListBullet"/>
      </w:pPr>
      <w:r>
        <w:t>Confirm ownership and stewardship responsibilities are clearly expressed according to DAMA governance roles (Chapter 3.2, p. 55–57).</w:t>
      </w:r>
    </w:p>
    <w:p>
      <w:pPr>
        <w:pStyle w:val="ListBullet"/>
      </w:pPr>
      <w:r>
        <w:t>Validate lifecycle stages based on DAMA requirements for creation, transformation, and retirement of data structures (Chapters 9 to 11).</w:t>
      </w:r>
    </w:p>
    <w:p>
      <w:r>
        <w:rPr>
          <w:b/>
        </w:rPr>
        <w:t>Notes:</w:t>
      </w:r>
    </w:p>
    <w:p>
      <w:pPr>
        <w:pStyle w:val="ListBullet"/>
      </w:pPr>
      <w:r>
        <w:t>Use DCAM lifecycle capability criteria to improve modelling integration across lifecycle phases.</w:t>
      </w:r>
    </w:p>
    <w:p>
      <w:pPr>
        <w:spacing w:before="240"/>
      </w:pPr>
    </w:p>
    <w:p>
      <w:pPr>
        <w:spacing w:before="120" w:after="120"/>
      </w:pPr>
      <w:r>
        <w:rPr>
          <w:b/>
        </w:rPr>
        <w:t xml:space="preserve">Procedure number: </w:t>
      </w:r>
      <w:r>
        <w:t>4</w:t>
      </w:r>
    </w:p>
    <w:p>
      <w:pPr>
        <w:spacing w:before="120" w:after="120"/>
      </w:pPr>
      <w:r>
        <w:rPr>
          <w:b/>
        </w:rPr>
        <w:t xml:space="preserve">Name: </w:t>
      </w:r>
      <w:r>
        <w:t>Apply modelling checks at domain decision points</w:t>
      </w:r>
    </w:p>
    <w:p>
      <w:pPr>
        <w:spacing w:before="120" w:after="120"/>
      </w:pPr>
      <w:r>
        <w:rPr>
          <w:b/>
        </w:rPr>
        <w:t xml:space="preserve">Prerequisite: </w:t>
      </w:r>
      <w:r>
        <w:t>Requires governed workflows</w:t>
      </w:r>
    </w:p>
    <w:p>
      <w:pPr>
        <w:spacing w:before="120" w:after="120"/>
      </w:pPr>
      <w:r>
        <w:rPr>
          <w:b/>
        </w:rPr>
        <w:t xml:space="preserve">Deliverable: </w:t>
      </w:r>
      <w:r>
        <w:t>Evidence of modelling controls</w:t>
      </w:r>
    </w:p>
    <w:p>
      <w:r>
        <w:rPr>
          <w:b/>
        </w:rPr>
        <w:t>Recommendations:</w:t>
      </w:r>
    </w:p>
    <w:p>
      <w:pPr>
        <w:pStyle w:val="ListBullet"/>
      </w:pPr>
      <w:r>
        <w:t>Apply checks according to DAMA modelling and governance expectations, which require validation of structure, relationships, and meaning prior to approval (Chapter 10, p. 282).</w:t>
      </w:r>
    </w:p>
    <w:p>
      <w:pPr>
        <w:pStyle w:val="ListBullet"/>
      </w:pPr>
      <w:r>
        <w:t>Validate against DAMA metadata and semantic consistency expectations (Chapter 9, p. 236).</w:t>
      </w:r>
    </w:p>
    <w:p>
      <w:pPr>
        <w:pStyle w:val="ListBullet"/>
      </w:pPr>
      <w:r>
        <w:t>Ensure decision points enforce stewardship oversight and escalation when needed as defined by DAMA (Chapter 3.4, p. 60).</w:t>
      </w:r>
    </w:p>
    <w:p>
      <w:pPr>
        <w:pStyle w:val="ListBullet"/>
      </w:pPr>
      <w:r>
        <w:t>Confirm lifecycle controls are respected following DAMA modelling checkpoints (Chapter 4.3, p. 92).</w:t>
      </w:r>
    </w:p>
    <w:p>
      <w:r>
        <w:rPr>
          <w:b/>
        </w:rPr>
        <w:t>Notes:</w:t>
      </w:r>
    </w:p>
    <w:p>
      <w:pPr>
        <w:pStyle w:val="ListBullet"/>
      </w:pPr>
      <w:r>
        <w:t>Use CMMI verification logic to improve repeatability of modelling decision validation.</w:t>
      </w:r>
    </w:p>
    <w:p>
      <w:pPr>
        <w:spacing w:before="240"/>
      </w:pPr>
    </w:p>
    <w:p>
      <w:pPr>
        <w:spacing w:before="120" w:after="120"/>
      </w:pPr>
      <w:r>
        <w:rPr>
          <w:b/>
        </w:rPr>
        <w:t xml:space="preserve">Procedure number: </w:t>
      </w:r>
      <w:r>
        <w:t>5</w:t>
      </w:r>
    </w:p>
    <w:p>
      <w:pPr>
        <w:spacing w:before="120" w:after="120"/>
      </w:pPr>
      <w:r>
        <w:rPr>
          <w:b/>
        </w:rPr>
        <w:t xml:space="preserve">Name: </w:t>
      </w:r>
      <w:r>
        <w:t>Track modelling adherence across domains</w:t>
      </w:r>
    </w:p>
    <w:p>
      <w:pPr>
        <w:spacing w:before="120" w:after="120"/>
      </w:pPr>
      <w:r>
        <w:rPr>
          <w:b/>
        </w:rPr>
        <w:t xml:space="preserve">Prerequisite: </w:t>
      </w:r>
      <w:r>
        <w:t>Requires monitoring routines</w:t>
      </w:r>
    </w:p>
    <w:p>
      <w:pPr>
        <w:spacing w:before="120" w:after="120"/>
      </w:pPr>
      <w:r>
        <w:rPr>
          <w:b/>
        </w:rPr>
        <w:t xml:space="preserve">Deliverable: </w:t>
      </w:r>
      <w:r>
        <w:t>Modelling compliance register</w:t>
      </w:r>
    </w:p>
    <w:p>
      <w:r>
        <w:rPr>
          <w:b/>
        </w:rPr>
        <w:t>Recommendations:</w:t>
      </w:r>
    </w:p>
    <w:p>
      <w:pPr>
        <w:pStyle w:val="ListBullet"/>
      </w:pPr>
      <w:r>
        <w:t>Track adherence using DAMA guidance for governance monitoring across modelling processes (Chapter 3.6, p. 64).</w:t>
      </w:r>
    </w:p>
    <w:p>
      <w:pPr>
        <w:pStyle w:val="ListBullet"/>
      </w:pPr>
      <w:r>
        <w:t>Ensure tracking includes metadata and semantic alignment checks (Chapter 10, p. 282–284).</w:t>
      </w:r>
    </w:p>
    <w:p>
      <w:pPr>
        <w:pStyle w:val="ListBullet"/>
      </w:pPr>
      <w:r>
        <w:t>Validate that deviations are recorded and escalated following DAMA governance escalation rules (Chapter 3.4, p. 60).</w:t>
      </w:r>
    </w:p>
    <w:p>
      <w:pPr>
        <w:pStyle w:val="ListBullet"/>
      </w:pPr>
      <w:r>
        <w:t>Confirm involvement of stewards and owners consistent with DAMA stewardship obligations (Chapter 4, p. 86–87).</w:t>
      </w:r>
    </w:p>
    <w:p>
      <w:r>
        <w:rPr>
          <w:b/>
        </w:rPr>
        <w:t>Notes:</w:t>
      </w:r>
    </w:p>
    <w:p>
      <w:pPr>
        <w:pStyle w:val="ListBullet"/>
      </w:pPr>
      <w:r>
        <w:t>Apply DCAM modelling assurance indicators to identify modelling weaknesses and areas for improvement.</w:t>
      </w:r>
    </w:p>
    <w:p>
      <w:pPr>
        <w:spacing w:before="240"/>
      </w:pPr>
    </w:p>
    <w:p>
      <w:pPr>
        <w:spacing w:before="120" w:after="120"/>
      </w:pPr>
      <w:r>
        <w:rPr>
          <w:b/>
        </w:rPr>
        <w:t xml:space="preserve">Procedure number: </w:t>
      </w:r>
      <w:r>
        <w:t>6</w:t>
      </w:r>
    </w:p>
    <w:p>
      <w:pPr>
        <w:spacing w:before="120" w:after="120"/>
      </w:pPr>
      <w:r>
        <w:rPr>
          <w:b/>
        </w:rPr>
        <w:t xml:space="preserve">Name: </w:t>
      </w:r>
      <w:r>
        <w:t>Structural Institutionalization Reinforcement</w:t>
      </w:r>
    </w:p>
    <w:p>
      <w:pPr>
        <w:spacing w:before="120" w:after="120"/>
      </w:pPr>
      <w:r>
        <w:rPr>
          <w:b/>
        </w:rPr>
        <w:t xml:space="preserve">Prerequisite: </w:t>
      </w:r>
      <w:r>
        <w:t>Requires approved governance mechanism and formalized policy baseline</w:t>
      </w:r>
    </w:p>
    <w:p>
      <w:pPr>
        <w:spacing w:before="120" w:after="120"/>
      </w:pPr>
      <w:r>
        <w:rPr>
          <w:b/>
        </w:rPr>
        <w:t xml:space="preserve">Deliverable: </w:t>
      </w:r>
      <w:r>
        <w:t>Institutionalized governance procedure with assigned control owner and documented evidence of repeatable execution</w:t>
      </w:r>
    </w:p>
    <w:p>
      <w:r>
        <w:rPr>
          <w:b/>
        </w:rPr>
        <w:t>Recommendations:</w:t>
      </w:r>
    </w:p>
    <w:p>
      <w:pPr>
        <w:pStyle w:val="ListBullet"/>
      </w:pPr>
      <w:r>
        <w:t>Assign a formally accountable Control Owner responsible for sustaining the governance mechanism.</w:t>
      </w:r>
    </w:p>
    <w:p>
      <w:pPr>
        <w:pStyle w:val="ListBullet"/>
      </w:pPr>
      <w:r>
        <w:t>Define objective acceptance criteria confirming stable and consistent execution.</w:t>
      </w:r>
    </w:p>
    <w:p>
      <w:pPr>
        <w:pStyle w:val="ListBullet"/>
      </w:pPr>
      <w:r>
        <w:t>Produce documented artefacts evidencing repeatable operational application.</w:t>
      </w:r>
    </w:p>
    <w:p>
      <w:pPr>
        <w:pStyle w:val="ListBullet"/>
      </w:pPr>
      <w:r>
        <w:t>Ensure integration into established organizational routines.</w:t>
      </w:r>
    </w:p>
    <w:p>
      <w:pPr>
        <w:pStyle w:val="ListBullet"/>
      </w:pPr>
      <w:r>
        <w:t>Maintain traceability between the governance mechanism and governing policy.</w:t>
      </w:r>
    </w:p>
    <w:p>
      <w:pPr>
        <w:pStyle w:val="ListBullet"/>
      </w:pPr>
      <w:r>
        <w:t>Identify Workflow Processes</w:t>
      </w:r>
    </w:p>
    <w:p>
      <w:pPr>
        <w:pStyle w:val="ListBullet"/>
      </w:pPr>
      <w:r>
        <w:t>Define Modelling Checkpoints</w:t>
      </w:r>
    </w:p>
    <w:p>
      <w:pPr>
        <w:pStyle w:val="ListBullet"/>
      </w:pPr>
      <w:r>
        <w:t>Incorporate Semantic and Metadata Rules</w:t>
      </w:r>
    </w:p>
    <w:p>
      <w:pPr>
        <w:pStyle w:val="ListBullet"/>
      </w:pPr>
      <w:r>
        <w:t>Assign Data Stewards</w:t>
      </w:r>
    </w:p>
    <w:p>
      <w:pPr>
        <w:pStyle w:val="ListBullet"/>
      </w:pPr>
      <w:r>
        <w:t>Develop Updated Workflow Templates</w:t>
      </w:r>
    </w:p>
    <w:p>
      <w:pPr>
        <w:pStyle w:val="ListBullet"/>
      </w:pPr>
      <w:r>
        <w:t>Review and Approve Workflow Templates</w:t>
      </w:r>
    </w:p>
    <w:p>
      <w:pPr>
        <w:pStyle w:val="ListBullet"/>
      </w:pPr>
      <w:r>
        <w:t>Implement and Monitor Workflows</w:t>
      </w:r>
    </w:p>
    <w:p>
      <w:pPr>
        <w:pStyle w:val="ListBullet"/>
      </w:pPr>
      <w:r>
        <w:t>Conduct Regular Reviews</w:t>
      </w:r>
    </w:p>
    <w:p>
      <w:pPr>
        <w:pStyle w:val="Heading4"/>
      </w:pPr>
      <w:r>
        <w:t>3.6.2.3 Governance Structural Components</w:t>
      </w:r>
    </w:p>
    <w:p>
      <w:r>
        <w:rPr>
          <w:b/>
        </w:rPr>
        <w:t xml:space="preserve">Purpose: </w:t>
      </w:r>
      <w:r>
        <w:t>To outline the governance framework supporting the procedure.</w:t>
      </w:r>
    </w:p>
    <w:p>
      <w:r>
        <w:rPr>
          <w:b/>
        </w:rPr>
        <w:t xml:space="preserve">Expected content: </w:t>
      </w:r>
      <w:r>
        <w:t>Coverage, themes, organizational structure, decision authority, governance processes, and exclusions.</w:t>
      </w:r>
    </w:p>
    <w:p>
      <w:pPr>
        <w:pStyle w:val="Heading5"/>
      </w:pPr>
      <w:r>
        <w:t>Sample elements</w:t>
      </w:r>
    </w:p>
    <w:p>
      <w:pPr>
        <w:pStyle w:val="Heading5"/>
      </w:pPr>
      <w:r>
        <w:t>Organizational Coverage: All departments involved in data management.</w:t>
      </w:r>
    </w:p>
    <w:p>
      <w:pPr>
        <w:pStyle w:val="Heading5"/>
      </w:pPr>
      <w:r>
        <w:t>Data Asset Coverage: All data models and related assets.</w:t>
      </w:r>
    </w:p>
    <w:p>
      <w:pPr>
        <w:pStyle w:val="Heading5"/>
      </w:pPr>
      <w:r>
        <w:t>Governance Themes: Data quality, compliance, and stewardship.</w:t>
      </w:r>
    </w:p>
    <w:p>
      <w:pPr>
        <w:pStyle w:val="Heading5"/>
      </w:pPr>
      <w:r>
        <w:t>Governance Organizational Structure: Data Governance Council overseeing the Data Governance Office.</w:t>
      </w:r>
    </w:p>
    <w:p>
      <w:pPr>
        <w:pStyle w:val="Heading5"/>
      </w:pPr>
      <w:r>
        <w:t>Decision Authority Model: Data Owners responsible for data domain decisions.</w:t>
      </w:r>
    </w:p>
    <w:p>
      <w:pPr>
        <w:pStyle w:val="Heading5"/>
      </w:pPr>
      <w:r>
        <w:t>Governance Processes</w:t>
      </w:r>
    </w:p>
    <w:p>
      <w:pPr>
        <w:pStyle w:val="ListBullet"/>
      </w:pPr>
      <w:r>
        <w:t>Establish modelling checkpoints</w:t>
      </w:r>
    </w:p>
    <w:p>
      <w:pPr>
        <w:pStyle w:val="ListBullet"/>
      </w:pPr>
      <w:r>
        <w:t>Monitor compliance with governance standards</w:t>
      </w:r>
    </w:p>
    <w:p>
      <w:pPr>
        <w:pStyle w:val="ListBullet"/>
      </w:pPr>
      <w:r>
        <w:t>Review data steward assignments</w:t>
      </w:r>
    </w:p>
    <w:p>
      <w:pPr>
        <w:pStyle w:val="ListBullet"/>
      </w:pPr>
      <w:r>
        <w:t>Conduct audits of workflow adherence</w:t>
      </w:r>
    </w:p>
    <w:p>
      <w:pPr>
        <w:pStyle w:val="Heading5"/>
      </w:pPr>
      <w:r>
        <w:t>Interfaces with Other Governance Structures: Coordination with Data Quality and Data Security governance.</w:t>
      </w:r>
    </w:p>
    <w:p>
      <w:pPr>
        <w:pStyle w:val="Heading5"/>
      </w:pPr>
      <w:r>
        <w:t>Explicit Exclusions: Non-data related workflows.</w:t>
      </w:r>
    </w:p>
    <w:p>
      <w:pPr>
        <w:pStyle w:val="Heading4"/>
      </w:pPr>
      <w:r>
        <w:t>3.6.2.4 Control and Oversight Mechanisms</w:t>
      </w:r>
    </w:p>
    <w:p>
      <w:r>
        <w:rPr>
          <w:b/>
        </w:rPr>
        <w:t xml:space="preserve">Purpose: </w:t>
      </w:r>
      <w:r>
        <w:t>To define the formal control and oversight mechanisms applicable to this action.</w:t>
      </w:r>
    </w:p>
    <w:p>
      <w:pPr>
        <w:pStyle w:val="Heading5"/>
      </w:pPr>
      <w:r>
        <w:t>Monitoring and KPIs</w:t>
      </w:r>
    </w:p>
    <w:p>
      <w:pPr>
        <w:pStyle w:val="ListBullet"/>
      </w:pPr>
      <w:r>
        <w:t>Define measurable indicators aligned with the action objective</w:t>
      </w:r>
    </w:p>
    <w:p>
      <w:pPr>
        <w:pStyle w:val="ListBullet"/>
      </w:pPr>
      <w:r>
        <w:t>Define measurement frequency and reporting cadence</w:t>
      </w:r>
    </w:p>
    <w:p>
      <w:pPr>
        <w:pStyle w:val="ListBullet"/>
      </w:pPr>
      <w:r>
        <w:t>Identify data source for each KPI</w:t>
      </w:r>
    </w:p>
    <w:p>
      <w:pPr>
        <w:pStyle w:val="ListBullet"/>
      </w:pPr>
      <w:r>
        <w:t>Assign accountable monitoring role</w:t>
      </w:r>
    </w:p>
    <w:p>
      <w:pPr>
        <w:pStyle w:val="Heading5"/>
      </w:pPr>
      <w:r>
        <w:t>Compliance and Internal Control Alignment</w:t>
      </w:r>
    </w:p>
    <w:p>
      <w:pPr>
        <w:pStyle w:val="ListBullet"/>
      </w:pPr>
      <w:r>
        <w:t>Reference structured internal control mechanisms</w:t>
      </w:r>
    </w:p>
    <w:p>
      <w:pPr>
        <w:pStyle w:val="ListBullet"/>
      </w:pPr>
      <w:r>
        <w:t>Define validation checkpoints</w:t>
      </w:r>
    </w:p>
    <w:p>
      <w:pPr>
        <w:pStyle w:val="Heading5"/>
      </w:pPr>
      <w:r>
        <w:t>Operational Escalation Model</w:t>
      </w:r>
    </w:p>
    <w:p>
      <w:pPr>
        <w:pStyle w:val="ListBullet"/>
      </w:pPr>
      <w:r>
        <w:t>Define escalation thresholds</w:t>
      </w:r>
    </w:p>
    <w:p>
      <w:pPr>
        <w:pStyle w:val="ListBullet"/>
      </w:pPr>
      <w:r>
        <w:t>Assign responsible escalation authority</w:t>
      </w:r>
    </w:p>
    <w:p>
      <w:pPr>
        <w:pStyle w:val="ListBullet"/>
      </w:pPr>
      <w:r>
        <w:t>Define documented resolution workflow</w:t>
      </w:r>
    </w:p>
    <w:p>
      <w:pPr>
        <w:pStyle w:val="Heading2"/>
      </w:pPr>
      <w:r>
        <w:t>3.7 Document-Level Governance Elements</w:t>
      </w:r>
    </w:p>
    <w:p>
      <w:pPr>
        <w:pStyle w:val="Heading3"/>
      </w:pPr>
      <w:r>
        <w:t>3.7.1 Document Governance</w:t>
      </w:r>
    </w:p>
    <w:p>
      <w:pPr>
        <w:spacing w:after="120"/>
      </w:pPr>
      <w:r>
        <w:t>Rules to keep this report controlled, auditable, and maintainable over time.</w:t>
      </w:r>
    </w:p>
    <w:p>
      <w:pPr>
        <w:pStyle w:val="Heading3"/>
      </w:pPr>
      <w:r>
        <w:t>3.7.2 Minimum Organizational Evidence</w:t>
      </w:r>
    </w:p>
    <w:p>
      <w:pPr>
        <w:spacing w:after="120"/>
      </w:pPr>
      <w:r>
        <w:t>Minimum organizational evidences required to sustain governance adoption and verification.</w:t>
      </w:r>
    </w:p>
    <w:p>
      <w:pPr>
        <w:pStyle w:val="Heading3"/>
      </w:pPr>
      <w:r>
        <w:t>3.7.3 Evolution Criteria for Next Cycle</w:t>
      </w:r>
    </w:p>
    <w:p>
      <w:pPr>
        <w:spacing w:after="120"/>
      </w:pPr>
      <w:r>
        <w:t>Criteria used to validate readiness to evolve to the next cycle and maturity level.</w:t>
      </w:r>
    </w:p>
    <w:p>
      <w:r>
        <w:br w:type="page"/>
      </w:r>
    </w:p>
    <w:p>
      <w:pPr>
        <w:pStyle w:val="Heading1"/>
      </w:pPr>
      <w:r>
        <w:t>4. References</w:t>
      </w:r>
    </w:p>
    <w:p>
      <w:pPr>
        <w:pStyle w:val="ListBullet"/>
      </w:pPr>
      <w:r>
        <w:t>DAMA International. (n.d.). DAMA-DMBOK: Data Management Body of Knowledge (2nd ed.).</w:t>
      </w:r>
    </w:p>
    <w:p>
      <w:pPr>
        <w:pStyle w:val="ListBullet"/>
      </w:pPr>
      <w:r>
        <w:t>EDM Council. (n.d.). DCAM: Data Management Capability Assessment Model.</w:t>
      </w:r>
    </w:p>
    <w:p>
      <w:pPr>
        <w:pStyle w:val="ListBullet"/>
      </w:pPr>
      <w:r>
        <w:t>CMMI Institute. (n.d.). CMMI Model.</w:t>
      </w:r>
    </w:p>
    <w:p>
      <w:pPr>
        <w:pStyle w:val="ListBullet"/>
      </w:pPr>
      <w:r>
        <w:t>European Union. (2016). General Data Protection Regulation (GDPR) (EU) 2016/679.</w:t>
      </w:r>
    </w:p>
    <w:p>
      <w:pPr>
        <w:pStyle w:val="ListBullet"/>
      </w:pPr>
      <w:r>
        <w:t>DOMMx publication (Zenodo record: 18020434).</w:t>
      </w:r>
    </w:p>
    <w:p>
      <w:pPr>
        <w:pStyle w:val="ListBullet"/>
      </w:pPr>
      <w:r>
        <w:t>SLR DOMMx publication (IEEE Xplore document: 11223201).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