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Rapport Consolidé du Projet DOMMx</w:t>
      </w:r>
    </w:p>
    <w:p>
      <w:r>
        <w:rPr>
          <w:sz w:val="32"/>
        </w:rPr>
        <w:t>Modèle Opérationnel et Maturité des Données</w:t>
      </w:r>
    </w:p>
    <w:p/>
    <w:p>
      <w:r>
        <w:rPr>
          <w:b/>
        </w:rPr>
        <w:t xml:space="preserve">Projet: </w:t>
      </w:r>
      <w:r>
        <w:t>teste 1</w:t>
      </w:r>
      <w:r>
        <w:t xml:space="preserve"> </w:t>
      </w:r>
      <w:r>
        <w:t>(ID: 986bfe9c-b2fa-46b7-b644-077b19e3aa1e)</w:t>
      </w:r>
    </w:p>
    <w:p>
      <w:r>
        <w:rPr>
          <w:b/>
        </w:rPr>
        <w:t xml:space="preserve">Périmètre: </w:t>
      </w:r>
      <w:r>
        <w:t>Tous les utilisateurs évalués</w:t>
      </w:r>
    </w:p>
    <w:p>
      <w:r>
        <w:rPr>
          <w:b/>
        </w:rPr>
        <w:t xml:space="preserve">Utilisateurs inclus: </w:t>
      </w:r>
      <w:r>
        <w:t>1</w:t>
      </w:r>
    </w:p>
    <w:p>
      <w:r>
        <w:rPr>
          <w:b/>
        </w:rPr>
        <w:t xml:space="preserve">Langue du rapport: </w:t>
      </w:r>
      <w:r>
        <w:t>fr</w:t>
      </w:r>
    </w:p>
    <w:p>
      <w:r>
        <w:rPr>
          <w:b/>
        </w:rPr>
        <w:t xml:space="preserve">Généré (UTC): </w:t>
      </w:r>
      <w:r>
        <w:t>2026-03-03 12:59:58</w:t>
      </w:r>
    </w:p>
    <w:p/>
    <w:p>
      <w:pPr>
        <w:spacing w:after="120"/>
      </w:pPr>
      <w:r>
        <w:t>Ce rapport constitue l’application opérationnelle du DOMMx au moyen d’une évaluation structurée par domaine.</w:t>
        <w:br/>
        <w:br/>
        <w:t>Pour chaque domaine évalué, le document présente le niveau actuel de maturité et définit l’ensemble structuré des actions nécessaires pour évoluer vers le niveau suivant.</w:t>
        <w:br/>
        <w:br/>
        <w:t>Le contenu est prescriptif et orienté vers la construction et le renforcement des artefacts de gouvernance des données. Il doit être utilisé comme base technique pour documenter, institutionnaliser et améliorer les pratiques de gouvernance de manière proportionnelle au niveau identifié.</w:t>
        <w:br/>
      </w:r>
    </w:p>
    <w:p>
      <w:r>
        <w:br w:type="page"/>
      </w:r>
    </w:p>
    <w:p>
      <w:r>
        <w:rPr>
          <w:b/>
          <w:sz w:val="36"/>
        </w:rPr>
        <w:t>How to Use This Report</w:t>
      </w:r>
    </w:p>
    <w:p/>
    <w:p>
      <w:pPr>
        <w:spacing w:after="120"/>
      </w:pPr>
      <w:r>
        <w:t>Ce rapport doit être utilisé comme guide technique pour l’évolution structurée de la gouvernance des données par domaine.</w:t>
        <w:br/>
        <w:br/>
        <w:t>Sur la base du niveau de maturité identifié lors de l’évaluation, le DOMMx active des ensembles d’actions prescriptives définissant ce qui doit être construit, formalisé ou renforcé afin de permettre la progression vers le niveau suivant.</w:t>
        <w:br/>
        <w:br/>
        <w:t>L’application pratique de ce rapport implique :</w:t>
        <w:br/>
        <w:br/>
        <w:t>1. Construire des artefacts formels lorsqu’ils sont inexistants ou insuffisants</w:t>
        <w:br/>
        <w:t>2. Standardiser et documenter les pratiques lorsqu’elles sont partiellement structurées</w:t>
        <w:br/>
        <w:t>3. Intégrer et institutionnaliser les mécanismes lorsqu’ils sont déjà définis</w:t>
        <w:br/>
        <w:t>4. Préparer le domaine à une gestion mesurable lors des cycles ultérieurs</w:t>
        <w:br/>
        <w:br/>
        <w:t>Chaque section par domaine doit être transformée en documentation formelle adaptée au contexte organisationnel spécifique, tout en conservant la structure proposée et en contextualisant le contenu technique selon la réalité du domaine évalué.</w:t>
        <w:br/>
        <w:br/>
        <w:t xml:space="preserve">Ce rapport n’est pas simplement descriptif. Son objectif est de favoriser une action structurée et une progression de maturité.  </w:t>
        <w:br/>
      </w:r>
    </w:p>
    <w:p>
      <w:r>
        <w:br w:type="page"/>
      </w:r>
    </w:p>
    <w:p>
      <w:r>
        <w:rPr>
          <w:b/>
          <w:sz w:val="40"/>
        </w:rPr>
        <w:t>Table des matières</w:t>
      </w:r>
    </w:p>
    <w:p/>
    <w:p>
      <w:r>
        <w:fldChar w:fldCharType="begin"/>
        <w:instrText xml:space="preserve">TOC \o "1-3" \h \z \u</w:instrText>
        <w:fldChar w:fldCharType="separate"/>
        <w:fldChar w:fldCharType="end"/>
      </w:r>
    </w:p>
    <w:p/>
    <w:p>
      <w:r>
        <w:br w:type="page"/>
      </w:r>
    </w:p>
    <w:p>
      <w:pPr>
        <w:pStyle w:val="Heading1"/>
      </w:pPr>
      <w:r>
        <w:t>1. Résultats de l'Évaluation</w:t>
      </w:r>
    </w:p>
    <w:p>
      <w:pPr>
        <w:spacing w:after="120"/>
      </w:pPr>
      <w:r>
        <w:t>Le blueprint et les orientations prescriptives présentés dans ce rapport suivent strictement la structure des domaines évalués et les niveaux de maturité obtenus lors du cycle d'évaluation actuel. Ils ne représentent pas nécessairement l'intégralité du modèle opérationnel DOMMx ni l'ensemble du périmètre de tout cadre de gouvernance des données référencé.</w:t>
        <w:br/>
      </w:r>
    </w:p>
    <w:p>
      <w:pPr>
        <w:spacing w:after="120"/>
      </w:pPr>
      <w:r>
        <w:t>Cette section présente les résultats de maturité par domaine, y compris les scores par question, les moyennes calculées par domaine et le niveau final de maturité. Le niveau final est calculé comme floor(AVG).</w:t>
        <w:br/>
      </w:r>
    </w:p>
    <w:p/>
    <w:p>
      <w:pPr>
        <w:pStyle w:val="Heading2"/>
      </w:pPr>
      <w:r>
        <w:t>1.1 Synthèse par Domaine</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Domaine</w:t>
            </w:r>
          </w:p>
        </w:tc>
        <w:tc>
          <w:tcPr>
            <w:tcW w:type="dxa" w:w="1728"/>
          </w:tcPr>
          <w:p>
            <w:r>
              <w:t>Nom du Domaine</w:t>
            </w:r>
          </w:p>
        </w:tc>
        <w:tc>
          <w:tcPr>
            <w:tcW w:type="dxa" w:w="1728"/>
          </w:tcPr>
          <w:p>
            <w:r>
              <w:t>AVG</w:t>
            </w:r>
          </w:p>
        </w:tc>
        <w:tc>
          <w:tcPr>
            <w:tcW w:type="dxa" w:w="1728"/>
          </w:tcPr>
          <w:p>
            <w:r>
              <w:t>Niveau Final (floor)</w:t>
            </w:r>
          </w:p>
        </w:tc>
        <w:tc>
          <w:tcPr>
            <w:tcW w:type="dxa" w:w="1728"/>
          </w:tcPr>
          <w:p>
            <w:r>
              <w:t>Niveau de Maturité</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Défini</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Défini</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Défini</w:t>
            </w:r>
          </w:p>
        </w:tc>
      </w:tr>
    </w:tbl>
    <w:p/>
    <w:p>
      <w:pPr>
        <w:pStyle w:val="Heading2"/>
      </w:pPr>
      <w:r>
        <w:t>1.2 DG · Data Governance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r>
        <w:tc>
          <w:tcPr>
            <w:tcW w:type="dxa" w:w="2160"/>
          </w:tcPr>
          <w:p>
            <w:r>
              <w:t>Q2</w:t>
            </w:r>
          </w:p>
        </w:tc>
        <w:tc>
          <w:tcPr>
            <w:tcW w:type="dxa" w:w="2160"/>
          </w:tcPr>
          <w:p>
            <w:r>
              <w:t>4.00</w:t>
            </w:r>
          </w:p>
        </w:tc>
        <w:tc>
          <w:tcPr>
            <w:tcW w:type="dxa" w:w="2160"/>
          </w:tcPr>
          <w:p>
            <w:r>
              <w:t>Maîtrisé</w:t>
            </w:r>
          </w:p>
        </w:tc>
        <w:tc>
          <w:tcPr>
            <w:tcW w:type="dxa" w:w="2160"/>
          </w:tcPr>
          <w:p>
            <w:r/>
          </w:p>
        </w:tc>
      </w:tr>
    </w:tbl>
    <w:p>
      <w:pPr>
        <w:spacing w:after="120"/>
      </w:pPr>
      <w:r>
        <w:t>Règle de notation: AVG = moyenne des scores des questions. Niveau final = floor(AVG).</w:t>
      </w:r>
    </w:p>
    <w:p/>
    <w:p>
      <w:pPr>
        <w:pStyle w:val="Heading2"/>
      </w:pPr>
      <w:r>
        <w:t>1.3 DA · Data Architecture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5.00</w:t>
            </w:r>
          </w:p>
        </w:tc>
        <w:tc>
          <w:tcPr>
            <w:tcW w:type="dxa" w:w="2160"/>
          </w:tcPr>
          <w:p>
            <w:r>
              <w:t>Optimisé</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Règle de notation: AVG = moyenne des scores des questions. Niveau final = floor(AVG).</w:t>
      </w:r>
    </w:p>
    <w:p/>
    <w:p>
      <w:r>
        <w:rPr>
          <w:b/>
        </w:rPr>
        <w:t xml:space="preserve">⚠ Dispersion de maturité détectée dans ce domaine. </w:t>
      </w:r>
      <w:r>
        <w:t>Une variation significative entre les scores suggère une incohérence structurelle ou une mise en œuvre inégale des composants.</w:t>
      </w:r>
    </w:p>
    <w:p/>
    <w:p>
      <w:pPr>
        <w:pStyle w:val="Heading2"/>
      </w:pPr>
      <w:r>
        <w:t>1.4 DMD · Data Modelling and Design</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bl>
    <w:p>
      <w:pPr>
        <w:spacing w:after="120"/>
      </w:pPr>
      <w:r>
        <w:t>Règle de notation: AVG = moyenne des scores des questions. Niveau final = floor(AVG).</w:t>
      </w:r>
    </w:p>
    <w:p>
      <w:pPr>
        <w:pStyle w:val="Heading1"/>
      </w:pPr>
      <w:r>
        <w:t>2. Dépendances Structurelles et Incohérences</w:t>
      </w:r>
    </w:p>
    <w:p>
      <w:pPr>
        <w:spacing w:after="120"/>
      </w:pPr>
      <w:r>
        <w:t>Cette section documente les dépendances structurelles entre les domaines et met en évidence les ruptures de dépendance ou incohérences de maturité détectées. Les dépendances déclarées proviennent de la définition du flux projet et les recommandations sont issues de la base de connaissance des incohérences.</w:t>
        <w:br/>
      </w:r>
    </w:p>
    <w:p>
      <w:pPr>
        <w:pStyle w:val="Heading2"/>
      </w:pPr>
      <w:r>
        <w:t>2.1 Dépendances Déclarées (flux du projet)</w:t>
      </w:r>
    </w:p>
    <w:p>
      <w:pPr>
        <w:pStyle w:val="Heading3"/>
      </w:pPr>
      <w:r>
        <w:t>DG · Data Governance</w:t>
      </w:r>
    </w:p>
    <w:p>
      <w:pPr>
        <w:spacing w:after="120"/>
      </w:pPr>
      <w:r>
        <w:t>Aucune dépendance déclarée.</w:t>
      </w:r>
    </w:p>
    <w:p>
      <w:pPr>
        <w:pStyle w:val="Heading3"/>
      </w:pPr>
      <w:r>
        <w:t>DA · Data Architecture</w:t>
      </w:r>
    </w:p>
    <w:p>
      <w:pPr>
        <w:spacing w:after="120"/>
      </w:pPr>
      <w:r>
        <w:t>Dépendances déclarées:</w:t>
      </w:r>
    </w:p>
    <w:p>
      <w:pPr>
        <w:pStyle w:val="ListBullet"/>
      </w:pPr>
      <w:r>
        <w:t>- DG · Data Governance (grade 3 · Défini)</w:t>
      </w:r>
    </w:p>
    <w:p>
      <w:pPr>
        <w:pStyle w:val="Heading3"/>
      </w:pPr>
      <w:r>
        <w:t>DMD · Data Modelling and Design</w:t>
      </w:r>
    </w:p>
    <w:p>
      <w:pPr>
        <w:spacing w:after="120"/>
      </w:pPr>
      <w:r>
        <w:t>Dépendances déclarées:</w:t>
      </w:r>
    </w:p>
    <w:p>
      <w:pPr>
        <w:pStyle w:val="ListBullet"/>
      </w:pPr>
      <w:r>
        <w:t>- DG · Data Governance (grade 3 · Défini)</w:t>
      </w:r>
    </w:p>
    <w:p>
      <w:pPr>
        <w:pStyle w:val="ListBullet"/>
      </w:pPr>
      <w:r>
        <w:t>- DA · Data Architecture (grade 3 · Défini)</w:t>
      </w:r>
    </w:p>
    <w:p>
      <w:pPr>
        <w:pStyle w:val="Heading2"/>
      </w:pPr>
      <w:r>
        <w:t>2.2 Ruptures Détectées et Recommandations de Remédiation</w:t>
      </w:r>
    </w:p>
    <w:p>
      <w:pPr>
        <w:spacing w:after="120"/>
      </w:pPr>
      <w:r>
        <w:t>Aucun enregistrement d'incohérence n'a été trouvé pour les domaines évalués.</w:t>
      </w:r>
    </w:p>
    <w:p>
      <w:pPr>
        <w:pStyle w:val="Heading1"/>
      </w:pPr>
      <w:r>
        <w:t>3. Blueprint de Domaine et Procédures Prescriptives</w:t>
      </w:r>
    </w:p>
    <w:p>
      <w:pPr>
        <w:spacing w:after="120"/>
      </w:pPr>
      <w:r>
        <w:t>Cette section fournit le blueprint prescriptif pour progresser depuis le niveau actuel. Pour chaque domaine, un Code d'Action déclenché est identifié et son pack de procédures est présenté de manière structurée.</w:t>
        <w:br/>
      </w:r>
    </w:p>
    <w:p>
      <w:pPr>
        <w:pStyle w:val="Heading2"/>
      </w:pPr>
      <w:r>
        <w:t>3.1 Résultat de l'Évaluation et Orientation Stratégique</w:t>
      </w:r>
    </w:p>
    <w:p>
      <w:pPr>
        <w:spacing w:after="120"/>
      </w:pPr>
      <w:r>
        <w:t>Le blueprint et les procédures prescriptives ci-dessous reflètent strictement les domaines évalués et leurs niveaux de maturité dans ce cycle. Ils ne représentent pas nécessairement l'intégralité du modèle DOMMx.</w:t>
        <w:br/>
      </w:r>
    </w:p>
    <w:p>
      <w:pPr>
        <w:spacing w:after="120"/>
      </w:pPr>
      <w:r>
        <w:t>Lecture Exécutive:</w:t>
      </w:r>
    </w:p>
    <w:p>
      <w:pPr>
        <w:pStyle w:val="ListBullet"/>
      </w:pPr>
      <w:r>
        <w:t>DG = 3.50 → Niveau 3 (Défini)</w:t>
      </w:r>
    </w:p>
    <w:p>
      <w:pPr>
        <w:pStyle w:val="ListBullet"/>
      </w:pPr>
      <w:r>
        <w:t>DA = 3.00 → Niveau 3 (Défini)</w:t>
      </w:r>
    </w:p>
    <w:p>
      <w:pPr>
        <w:pStyle w:val="ListBullet"/>
      </w:pPr>
      <w:r>
        <w:t>DMD = 3.00 → Niveau 3 (Défini)</w:t>
      </w:r>
    </w:p>
    <w:p>
      <w:pPr>
        <w:pStyle w:val="Heading2"/>
      </w:pPr>
      <w:r>
        <w:t>3.2 Éléments Communs à Tous les Domaines</w:t>
      </w:r>
    </w:p>
    <w:p>
      <w:pPr>
        <w:spacing w:after="120"/>
      </w:pPr>
      <w:r>
        <w:t>Cette section définit des éléments structurels communs à tous les domaines, assurant cohérence et intégration organisationnelle.</w:t>
        <w:br/>
      </w:r>
    </w:p>
    <w:p>
      <w:pPr>
        <w:pStyle w:val="Heading3"/>
      </w:pPr>
      <w:r>
        <w:t>3.2.1 Structure Standard des Artefacts de Gouvernance</w:t>
      </w:r>
    </w:p>
    <w:p>
      <w:pPr>
        <w:spacing w:after="120"/>
      </w:pPr>
      <w:r>
        <w:t>Chaque artefact de gouvernance doit suivre une structure standardisée garantissant cohérence et traçabilité.</w:t>
        <w:br/>
      </w:r>
    </w:p>
    <w:p>
      <w:pPr>
        <w:pStyle w:val="Heading4"/>
      </w:pPr>
      <w:r>
        <w:t>3.2.1.1 Résumé Exécutif</w:t>
      </w:r>
    </w:p>
    <w:p>
      <w:r>
        <w:rPr>
          <w:b/>
        </w:rPr>
        <w:t xml:space="preserve">Objectif: </w:t>
      </w:r>
      <w:r>
        <w:t>Fournir un aperçu de haut niveau de l'intention et de l'importance du document.</w:t>
      </w:r>
    </w:p>
    <w:p>
      <w:r>
        <w:rPr>
          <w:b/>
        </w:rPr>
        <w:t xml:space="preserve">Contenu attendu: </w:t>
      </w:r>
      <w:r>
        <w:t>Résumé du processus de mise en œuvre des normes de gouvernance et son importance pour l'organisation.</w:t>
      </w:r>
    </w:p>
    <w:p>
      <w:r>
        <w:rPr>
          <w:b/>
        </w:rPr>
        <w:t xml:space="preserve">Éléments d'exemple: </w:t>
      </w:r>
      <w:r>
        <w:t>Aperçu de l'intégration de la gouvernance dans les routines, alignement avec DMBOK2 et DCAM.</w:t>
      </w:r>
    </w:p>
    <w:p>
      <w:pPr>
        <w:pStyle w:val="Heading4"/>
      </w:pPr>
      <w:r>
        <w:t>3.2.1.2 Annexes</w:t>
      </w:r>
    </w:p>
    <w:p>
      <w:r>
        <w:rPr>
          <w:b/>
        </w:rPr>
        <w:t xml:space="preserve">Objectif: </w:t>
      </w:r>
      <w:r>
        <w:t>Fournir des matériaux supplémentaires qui soutiennent le document principal.</w:t>
      </w:r>
    </w:p>
    <w:p>
      <w:r>
        <w:rPr>
          <w:b/>
        </w:rPr>
        <w:t xml:space="preserve">Contenu attendu: </w:t>
      </w:r>
      <w:r>
        <w:t>Modèles, normes de référence et artefacts de soutien.</w:t>
      </w:r>
    </w:p>
    <w:p>
      <w:pPr>
        <w:pStyle w:val="Heading4"/>
      </w:pPr>
      <w:r>
        <w:t>Éléments d'exemple</w:t>
      </w:r>
    </w:p>
    <w:p>
      <w:pPr>
        <w:pStyle w:val="Heading4"/>
      </w:pPr>
      <w:r>
        <w:t>Modèles : Modèle de journal de mise en œuvre des normes de gouvernance.</w:t>
      </w:r>
    </w:p>
    <w:p>
      <w:pPr>
        <w:pStyle w:val="Heading4"/>
      </w:pPr>
      <w:r>
        <w:t>Normes de Référence : Liens vers DAMA-DMBOK et ressources DCAM.</w:t>
      </w:r>
    </w:p>
    <w:p>
      <w:pPr>
        <w:pStyle w:val="Heading4"/>
      </w:pPr>
      <w:r>
        <w:t>Artefacts de Soutien : Exemples de politiques et procédures de gouvernance.</w:t>
      </w:r>
    </w:p>
    <w:p>
      <w:pPr>
        <w:pStyle w:val="Heading3"/>
      </w:pPr>
      <w:r>
        <w:t>3.2.2 Éléments Structurels Transversaux</w:t>
      </w:r>
    </w:p>
    <w:p>
      <w:pPr>
        <w:spacing w:after="120"/>
      </w:pPr>
      <w:r>
        <w:t>Ces éléments transversaux assurent l’alignement organisationnel et le contrôle intégré.</w:t>
        <w:br/>
      </w:r>
    </w:p>
    <w:p>
      <w:pPr>
        <w:pStyle w:val="Heading4"/>
      </w:pPr>
      <w:r>
        <w:t>3.2.2.1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4"/>
      </w:pPr>
      <w:r>
        <w:t>Éléments d'exemple</w:t>
      </w:r>
    </w:p>
    <w:p>
      <w:pPr>
        <w:pStyle w:val="Heading4"/>
      </w:pPr>
      <w:r>
        <w:t>Titre du Document : Guide de Mise en Œuvre des Normes de Gouvernance</w:t>
      </w:r>
    </w:p>
    <w:p>
      <w:pPr>
        <w:pStyle w:val="Heading4"/>
      </w:pPr>
      <w:r>
        <w:t>Version et Statut : Version 1.0 - Projet</w:t>
      </w:r>
    </w:p>
    <w:p>
      <w:pPr>
        <w:pStyle w:val="Heading4"/>
      </w:pPr>
      <w:r>
        <w:t>Autorité d'Approbation : Conseil de Gouvernance des Données</w:t>
      </w:r>
    </w:p>
    <w:p>
      <w:pPr>
        <w:pStyle w:val="Heading4"/>
      </w:pPr>
      <w:r>
        <w:t>Historique des Révisions : Date, description des changements, auteur.</w:t>
      </w:r>
    </w:p>
    <w:p>
      <w:pPr>
        <w:pStyle w:val="Heading4"/>
      </w:pPr>
      <w:r>
        <w:t>3.2.2.2 Cadre de Domaine et de Contexte</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 basé sur le score de maturité.</w:t>
      </w:r>
    </w:p>
    <w:p>
      <w:pPr>
        <w:pStyle w:val="Heading4"/>
      </w:pPr>
      <w:r>
        <w:t>Éléments d'exemple</w:t>
      </w:r>
    </w:p>
    <w:p>
      <w:pPr>
        <w:pStyle w:val="Heading4"/>
      </w:pPr>
      <w:r>
        <w:t>Définition du Domaine : Gouvernance des Données</w:t>
      </w:r>
    </w:p>
    <w:p>
      <w:pPr>
        <w:pStyle w:val="Heading4"/>
      </w:pPr>
      <w:r>
        <w:t>Contexte Organisationnel : Aperçu du paysage de gestion des données de l'organisation.</w:t>
      </w:r>
    </w:p>
    <w:p>
      <w:pPr>
        <w:pStyle w:val="Heading4"/>
      </w:pPr>
      <w:r>
        <w:t>Positionnement de Maturité : Score 3 - Géré.</w:t>
      </w:r>
    </w:p>
    <w:p>
      <w:pPr>
        <w:pStyle w:val="Heading4"/>
      </w:pPr>
      <w:r>
        <w:t>3.2.2.3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4"/>
      </w:pPr>
      <w:r>
        <w:t>Éléments d'exemple</w:t>
      </w:r>
    </w:p>
    <w:p>
      <w:pPr>
        <w:pStyle w:val="Heading4"/>
      </w:pPr>
      <w:r>
        <w:t>Code et Titre de l'Action : DG-04 - Intégrer la gouvernance dans les routines organisationnelles et de domaine</w:t>
      </w:r>
    </w:p>
    <w:p>
      <w:pPr>
        <w:pStyle w:val="Heading4"/>
      </w:pPr>
      <w:r>
        <w:t>Objectif de l'Action : Intégrer systématiquement les normes de gouvernance dans les opérations quotidiennes.</w:t>
      </w:r>
    </w:p>
    <w:p>
      <w:pPr>
        <w:pStyle w:val="Heading4"/>
      </w:pPr>
      <w:r>
        <w:t>Limites de Périmètre de l'Action : Applicable à tous les domaines de données au sein de l'organisation.</w:t>
      </w:r>
    </w:p>
    <w:p>
      <w:pPr>
        <w:pStyle w:val="Heading4"/>
      </w:pPr>
      <w:r>
        <w:t>3.2.2.4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4"/>
      </w:pPr>
      <w:r>
        <w:t>Éléments d'exemple</w:t>
      </w:r>
    </w:p>
    <w:p>
      <w:pPr>
        <w:pStyle w:val="Heading4"/>
      </w:pPr>
      <w:r>
        <w:t>Objectif de la Procédure : Mettre en œuvre les normes de gouvernance à travers les domaines.</w:t>
      </w:r>
    </w:p>
    <w:p>
      <w:pPr>
        <w:pStyle w:val="Heading4"/>
      </w:pPr>
      <w:r>
        <w:t>Prérequis : Nécessite des normes de gouvernance approuvées.</w:t>
      </w:r>
    </w:p>
    <w:p>
      <w:pPr>
        <w:pStyle w:val="Heading4"/>
      </w:pPr>
      <w:r>
        <w:t>Livrables : Journal de mise en œuvre des normes de gouvernance.</w:t>
      </w:r>
    </w:p>
    <w:p>
      <w:pPr>
        <w:pStyle w:val="Heading4"/>
      </w:pPr>
      <w:r>
        <w:t>Structure d'Exécution Étape par Étape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3.2.2.5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4"/>
      </w:pPr>
      <w:r>
        <w:t>Éléments d'exemple</w:t>
      </w:r>
    </w:p>
    <w:p>
      <w:pPr>
        <w:pStyle w:val="Heading4"/>
      </w:pPr>
      <w:r>
        <w:t>Couverture Organisationnelle : Tous les domaines de données au sein de l'organisation.</w:t>
      </w:r>
    </w:p>
    <w:p>
      <w:pPr>
        <w:pStyle w:val="Heading4"/>
      </w:pPr>
      <w:r>
        <w:t>Couverture des Actifs de Données : Tous les actifs de données critiques identifiés dans le cadre de gouvernance.</w:t>
      </w:r>
    </w:p>
    <w:p>
      <w:pPr>
        <w:pStyle w:val="Heading4"/>
      </w:pPr>
      <w:r>
        <w:t>Thèmes de Gouvernance : Qualité des données, sécurité des données, confidentialité des données.</w:t>
      </w:r>
    </w:p>
    <w:p>
      <w:pPr>
        <w:pStyle w:val="Heading4"/>
      </w:pPr>
      <w:r>
        <w:t>Structure Organisationnelle de Gouvernance : Conseil de Gouvernance des Données, Bureau de Gouvernance des Données, Propriétaires de Données, Gardiens de Données.</w:t>
      </w:r>
    </w:p>
    <w:p>
      <w:pPr>
        <w:pStyle w:val="Heading4"/>
      </w:pPr>
      <w:r>
        <w:t>Modèle d'Autorité Décisionnelle : Rôles et responsabilités définis pour la prise de décision.</w:t>
      </w:r>
    </w:p>
    <w:p>
      <w:pPr>
        <w:pStyle w:val="Heading4"/>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Interfaces avec d'Autres Structures de Gouvernance : Interaction avec d'autres cadres de gouvernance au sein de l'organisation.</w:t>
      </w:r>
    </w:p>
    <w:p>
      <w:pPr>
        <w:pStyle w:val="Heading4"/>
      </w:pPr>
      <w:r>
        <w:t>Exclusions Explicites : Zones non couvertes par ce cadre de gouvernance.</w:t>
      </w:r>
    </w:p>
    <w:p>
      <w:pPr>
        <w:pStyle w:val="Heading4"/>
      </w:pPr>
      <w:r>
        <w:t>3.2.2.6 Mécanismes de Contrôle et de Surveillance</w:t>
      </w:r>
    </w:p>
    <w:p>
      <w:r>
        <w:rPr>
          <w:b/>
        </w:rPr>
        <w:t xml:space="preserve">Objectif: </w:t>
      </w:r>
      <w:r>
        <w:t>Définir les mécanismes de contrôle et de surveillance formels applicables à cette action.</w:t>
      </w:r>
    </w:p>
    <w:p>
      <w:pPr>
        <w:pStyle w:val="Heading4"/>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4"/>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4"/>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3.2.2.7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4"/>
      </w:pPr>
      <w:r>
        <w:t>Éléments d'exemple</w:t>
      </w:r>
    </w:p>
    <w:p>
      <w:pPr>
        <w:pStyle w:val="Heading4"/>
      </w:pPr>
      <w:r>
        <w:t>Gestion du Cycle de Vie : Procédures pour les mises à jour et révisions du document.</w:t>
      </w:r>
    </w:p>
    <w:p>
      <w:pPr>
        <w:pStyle w:val="Heading4"/>
      </w:pPr>
      <w:r>
        <w:t>Cycle de Révision : Fréquence des revues de documents (par exemple, annuellement).</w:t>
      </w:r>
    </w:p>
    <w:p>
      <w:pPr>
        <w:pStyle w:val="Heading4"/>
      </w:pPr>
      <w:r>
        <w:t>Propriété du Document : Désignation du Bureau de Gouvernance des Données comme propriétaire du document.</w:t>
      </w:r>
    </w:p>
    <w:p>
      <w:pPr>
        <w:pStyle w:val="Heading4"/>
      </w:pPr>
      <w:r>
        <w:t>3.2.2.8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3.2.2.9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3.3 Définition Consolidée du Modèle de Maturité</w:t>
      </w:r>
    </w:p>
    <w:p>
      <w:pPr>
        <w:pStyle w:val="Heading3"/>
      </w:pPr>
      <w:r>
        <w:t>Niveau 0 – Inexistant</w:t>
      </w:r>
    </w:p>
    <w:p>
      <w:pPr>
        <w:spacing w:after="120"/>
      </w:pPr>
      <w:r>
        <w:t>Aucune pratique de gouvernance et aucune responsabilité ou processus défini.</w:t>
      </w:r>
    </w:p>
    <w:p>
      <w:pPr>
        <w:spacing w:after="120"/>
      </w:pPr>
      <w:r>
        <w:t>Indique une absence totale de structure et un besoin immédiat d'action fondamentale.</w:t>
      </w:r>
    </w:p>
    <w:p>
      <w:pPr>
        <w:pStyle w:val="Heading3"/>
      </w:pPr>
      <w:r>
        <w:t>Niveau 1 – Initial</w:t>
      </w:r>
    </w:p>
    <w:p>
      <w:pPr>
        <w:spacing w:after="120"/>
      </w:pPr>
      <w:r>
        <w:t>Les activités se déroulent de manière informelle et réactive avec peu ou pas de documentation.</w:t>
      </w:r>
    </w:p>
    <w:p>
      <w:pPr>
        <w:spacing w:after="120"/>
      </w:pPr>
      <w:r>
        <w:t>Reflète une prise de conscience, mais aussi une forte variabilité et un risque opérationnel élevé.</w:t>
      </w:r>
    </w:p>
    <w:p>
      <w:pPr>
        <w:pStyle w:val="Heading3"/>
      </w:pPr>
      <w:r>
        <w:t>Niveau 2 – Émergent</w:t>
      </w:r>
    </w:p>
    <w:p>
      <w:pPr>
        <w:spacing w:after="120"/>
      </w:pPr>
      <w:r>
        <w:t>Certaines pratiques existent mais restent incohérentes, non documentées ou non adoptées à travers les équipes.</w:t>
      </w:r>
    </w:p>
    <w:p>
      <w:pPr>
        <w:spacing w:after="120"/>
      </w:pPr>
      <w:r>
        <w:t>Montre un développement précoce. La standardisation et la documentation sont nécessaires pour progresser.</w:t>
      </w:r>
    </w:p>
    <w:p>
      <w:pPr>
        <w:pStyle w:val="Heading3"/>
      </w:pPr>
      <w:r>
        <w:t>Niveau 3 – Établi</w:t>
      </w:r>
    </w:p>
    <w:p>
      <w:pPr>
        <w:spacing w:after="120"/>
      </w:pPr>
      <w:r>
        <w:t>Les processus, rôles et politiques sont définis, documentés et appliqués avec stabilité.</w:t>
      </w:r>
    </w:p>
    <w:p>
      <w:pPr>
        <w:spacing w:after="120"/>
      </w:pPr>
      <w:r>
        <w:t>Démontre la cohérence opérationnelle et la préparation à des améliorations plus structurées.</w:t>
      </w:r>
    </w:p>
    <w:p>
      <w:pPr>
        <w:pStyle w:val="Heading3"/>
      </w:pPr>
      <w:r>
        <w:t>Niveau 4 – Géré</w:t>
      </w:r>
    </w:p>
    <w:p>
      <w:pPr>
        <w:spacing w:after="120"/>
      </w:pPr>
      <w:r>
        <w:t>La gouvernance est intégrée dans les flux de travail et soutenue par des outils, la surveillance et la supervision.</w:t>
      </w:r>
    </w:p>
    <w:p>
      <w:pPr>
        <w:spacing w:after="120"/>
      </w:pPr>
      <w:r>
        <w:t>Représente une adoption mature avec une exécution fiable à travers les équipes.</w:t>
      </w:r>
    </w:p>
    <w:p>
      <w:pPr>
        <w:pStyle w:val="Heading3"/>
      </w:pPr>
      <w:r>
        <w:t>Niveau 5 – Optimisé</w:t>
      </w:r>
    </w:p>
    <w:p>
      <w:pPr>
        <w:spacing w:after="120"/>
      </w:pPr>
      <w:r>
        <w:t>La gouvernance est pleinement intégrée, continuellement améliorée et alignée avec les attentes de conformité et d'éthique.</w:t>
      </w:r>
    </w:p>
    <w:p>
      <w:pPr>
        <w:spacing w:after="120"/>
      </w:pPr>
      <w:r>
        <w:t>Représente une maturité avancée avec une gouvernance proactive, une optimisation et une amélioration continue institutionnalisée.</w:t>
      </w:r>
    </w:p>
    <w:p>
      <w:pPr>
        <w:pStyle w:val="Heading2"/>
      </w:pPr>
      <w:r>
        <w:t>3.4 DG · Data Governance</w:t>
      </w:r>
    </w:p>
    <w:p>
      <w:pPr>
        <w:pStyle w:val="Heading3"/>
      </w:pPr>
      <w:r>
        <w:t>3.4.1 Contextualisation du Domaine Évalué</w:t>
      </w:r>
    </w:p>
    <w:p>
      <w:r>
        <w:rPr>
          <w:b/>
        </w:rPr>
        <w:t xml:space="preserve">Description : </w:t>
      </w:r>
      <w:r>
        <w:t>Les questions de ce domaine évaluent l'existence, la formalisation et l'exécution cohérente des mécanismes fondamentaux de gouvernance, y compris les politiques, principes, structures de stewardship, rôles de responsabilité et organes de supervision. Elles évaluent comment les responsabilités sont définies, comment les décisions sont prises et comment la gouvernance est intégrée dans les routines organisationnelles. Ces éléments reflètent les mécanismes structurels, procéduraux et relationnels mis en avant dans la littérature comme fondamentaux pour une gouvernance efficace (Abraham et al., 2019). De plus, ils fournissent la base pour le développement des capacités dans tous les autres domaines.</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Aperçu du paysage de gestion des données de l'organisation.</w:t>
      </w:r>
    </w:p>
    <w:p>
      <w:pPr>
        <w:spacing w:after="120"/>
      </w:pPr>
      <w:r>
        <w:t>Code de l'action déclenchée: DG-04</w:t>
      </w:r>
    </w:p>
    <w:p>
      <w:pPr>
        <w:pStyle w:val="Heading3"/>
      </w:pPr>
      <w:r>
        <w:t>3.4.2 Pack de Procédures Prescriptives</w:t>
      </w:r>
    </w:p>
    <w:p>
      <w:pPr>
        <w:spacing w:after="120"/>
      </w:pPr>
      <w:r>
        <w:t>Le package prescriptif consolide les actions spécifiques nécessaires à l’évolution du niveau de maturité.</w:t>
        <w:br/>
      </w:r>
    </w:p>
    <w:p>
      <w:pPr>
        <w:pStyle w:val="Heading4"/>
      </w:pPr>
      <w:r>
        <w:t>3.4.2.1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d'exemple</w:t>
      </w:r>
    </w:p>
    <w:p>
      <w:pPr>
        <w:pStyle w:val="Heading5"/>
      </w:pPr>
      <w:r>
        <w:t>Titre du Document : Guide de Mise en Œuvre des Normes de Gouvernance</w:t>
      </w:r>
    </w:p>
    <w:p>
      <w:pPr>
        <w:pStyle w:val="Heading5"/>
      </w:pPr>
      <w:r>
        <w:t>Version et Statut : Version 1.0 - Projet</w:t>
      </w:r>
    </w:p>
    <w:p>
      <w:pPr>
        <w:pStyle w:val="Heading5"/>
      </w:pPr>
      <w:r>
        <w:t>Autorité d'Approbation : Conseil de Gouvernance des Données</w:t>
      </w:r>
    </w:p>
    <w:p>
      <w:pPr>
        <w:pStyle w:val="Heading5"/>
      </w:pPr>
      <w:r>
        <w:t>Historique des Révisions : Date, description des changements, auteur.</w:t>
      </w:r>
    </w:p>
    <w:p>
      <w:pPr>
        <w:pStyle w:val="Heading4"/>
      </w:pPr>
      <w:r>
        <w:t>3.4.2.2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5"/>
      </w:pPr>
      <w:r>
        <w:t>Éléments d'exemple</w:t>
      </w:r>
    </w:p>
    <w:p>
      <w:pPr>
        <w:pStyle w:val="Heading5"/>
      </w:pPr>
      <w:r>
        <w:t>Code et Titre de l'Action : DG-04 - Intégrer la gouvernance dans les routines organisationnelles et de domaine</w:t>
      </w:r>
    </w:p>
    <w:p>
      <w:pPr>
        <w:pStyle w:val="Heading5"/>
      </w:pPr>
      <w:r>
        <w:t>Objectif de l'Action : Intégrer systématiquement les normes de gouvernance dans les opérations quotidiennes.</w:t>
      </w:r>
    </w:p>
    <w:p>
      <w:pPr>
        <w:pStyle w:val="Heading5"/>
      </w:pPr>
      <w:r>
        <w:t>Limites de Périmètre de l'Action : Applicable à tous les domaines de données au sein de l'organisation.</w:t>
      </w:r>
    </w:p>
    <w:p>
      <w:pPr>
        <w:pStyle w:val="Heading4"/>
      </w:pPr>
      <w:r>
        <w:t>3.4.2.3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5"/>
      </w:pPr>
      <w:r>
        <w:t>Éléments d'exemple</w:t>
      </w:r>
    </w:p>
    <w:p>
      <w:pPr>
        <w:pStyle w:val="Heading5"/>
      </w:pPr>
      <w:r>
        <w:t>Objectif de la Procédure : Mettre en œuvre les normes de gouvernance à travers les domaines.</w:t>
      </w:r>
    </w:p>
    <w:p>
      <w:pPr>
        <w:pStyle w:val="Heading5"/>
      </w:pPr>
      <w:r>
        <w:t>Prérequis : Nécessite des normes de gouvernance approuvées.</w:t>
      </w:r>
    </w:p>
    <w:p>
      <w:pPr>
        <w:pStyle w:val="Heading5"/>
      </w:pPr>
      <w:r>
        <w:t>Livrables : Journal de mise en œuvre des normes de gouvernance.</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Mettre en œuvre des normes de gouvernance à travers les domaines</w:t>
      </w:r>
    </w:p>
    <w:p>
      <w:pPr>
        <w:spacing w:before="120" w:after="120"/>
      </w:pPr>
      <w:r>
        <w:rPr>
          <w:b/>
        </w:rPr>
        <w:t xml:space="preserve">Prérequis: </w:t>
      </w:r>
      <w:r>
        <w:t>Nécessite des normes approuvées</w:t>
      </w:r>
    </w:p>
    <w:p>
      <w:pPr>
        <w:spacing w:before="120" w:after="120"/>
      </w:pPr>
      <w:r>
        <w:rPr>
          <w:b/>
        </w:rPr>
        <w:t xml:space="preserve">Livrable: </w:t>
      </w:r>
      <w:r>
        <w:t>Journal de mise en œuvre des normes de gouvernance</w:t>
      </w:r>
    </w:p>
    <w:p>
      <w:r>
        <w:rPr>
          <w:b/>
        </w:rPr>
        <w:t>Recommandations:</w:t>
      </w:r>
    </w:p>
    <w:p>
      <w:pPr>
        <w:pStyle w:val="ListBullet"/>
      </w:pPr>
      <w:r>
        <w:t>Mettre en œuvre des normes suivant les directives DAMA sur la manière dont les règles de gouvernance doivent être incorporées dans les processus opérationnels et analytiques comme décrit dans DMBOK2 (Chapitre 3.5, p. 62).</w:t>
      </w:r>
    </w:p>
    <w:p>
      <w:pPr>
        <w:pStyle w:val="ListBullet"/>
      </w:pPr>
      <w:r>
        <w:t>S'assurer que l'intégration est alignée avec la description DAMA des activités de coordination et de gouvernance inter-domaines (Chapitre 3.3, p. 58–59).</w:t>
      </w:r>
    </w:p>
    <w:p>
      <w:pPr>
        <w:pStyle w:val="ListBullet"/>
      </w:pPr>
      <w:r>
        <w:t>Valider que chaque domaine adopte les normes de manière cohérente selon les responsabilités de gestion et les attentes de supervision DAMA (Chapitre 4, p. 86–89).</w:t>
      </w:r>
    </w:p>
    <w:p>
      <w:pPr>
        <w:pStyle w:val="ListBullet"/>
      </w:pPr>
      <w:r>
        <w:t>Confirmer que la mise en œuvre reflète les points de contrôle du cycle de vie DAMA pour la définition, l'utilisation et la mise hors service contrôlées des données (Chapitre 4.3, p. 92).</w:t>
      </w:r>
    </w:p>
    <w:p>
      <w:r>
        <w:rPr>
          <w:b/>
        </w:rPr>
        <w:t>Notes:</w:t>
      </w:r>
    </w:p>
    <w:p>
      <w:pPr>
        <w:pStyle w:val="ListBullet"/>
      </w:pPr>
      <w:r>
        <w:t>Appliquer l'alignement des capacités de domaine DCAM pour garantir que les normes sont intégrées uniformément et restent opérationnelles.</w:t>
      </w:r>
    </w:p>
    <w:p>
      <w:pPr>
        <w:spacing w:before="240"/>
      </w:pPr>
    </w:p>
    <w:p>
      <w:pPr>
        <w:spacing w:before="120" w:after="120"/>
      </w:pPr>
      <w:r>
        <w:rPr>
          <w:b/>
        </w:rPr>
        <w:t xml:space="preserve">Numéro de Procédure: </w:t>
      </w:r>
      <w:r>
        <w:t>2</w:t>
      </w:r>
    </w:p>
    <w:p>
      <w:pPr>
        <w:spacing w:before="120" w:after="120"/>
      </w:pPr>
      <w:r>
        <w:rPr>
          <w:b/>
        </w:rPr>
        <w:t xml:space="preserve">Nom: </w:t>
      </w:r>
      <w:r>
        <w:t>Intégrer les règles de gouvernance dans les flux de travail opérationnels</w:t>
      </w:r>
    </w:p>
    <w:p>
      <w:pPr>
        <w:spacing w:before="120" w:after="120"/>
      </w:pPr>
      <w:r>
        <w:rPr>
          <w:b/>
        </w:rPr>
        <w:t xml:space="preserve">Prérequis: </w:t>
      </w:r>
      <w:r>
        <w:t>Nécessite la cartographie des flux de travail opérationnels</w:t>
      </w:r>
    </w:p>
    <w:p>
      <w:pPr>
        <w:spacing w:before="120" w:after="120"/>
      </w:pPr>
      <w:r>
        <w:rPr>
          <w:b/>
        </w:rPr>
        <w:t xml:space="preserve">Livrable: </w:t>
      </w:r>
      <w:r>
        <w:t>Enregistrement de l'intégration des workflows de gouvernance</w:t>
      </w:r>
    </w:p>
    <w:p>
      <w:r>
        <w:rPr>
          <w:b/>
        </w:rPr>
        <w:t>Recommandations:</w:t>
      </w:r>
    </w:p>
    <w:p>
      <w:pPr>
        <w:pStyle w:val="ListBullet"/>
      </w:pPr>
      <w:r>
        <w:t>Intégrez les règles en utilisant les directives DAMA pour incorporer les contrôles de gouvernance dans les processus de données, y compris les étapes de validation, d'approbation et de traçabilité (Chapitre 3.3, p. 58).</w:t>
      </w:r>
    </w:p>
    <w:p>
      <w:pPr>
        <w:pStyle w:val="ListBullet"/>
      </w:pPr>
      <w:r>
        <w:t>S'assurer que les étapes du flux de travail reflètent les attentes DAMA en matière d'autorité, d'interaction des responsables et d'escalade (Chapitre 3.4, p. 60).</w:t>
      </w:r>
    </w:p>
    <w:p>
      <w:pPr>
        <w:pStyle w:val="ListBullet"/>
      </w:pPr>
      <w:r>
        <w:t>Validez l'adhérence aux responsabilités de stewardship DAMA, qui définissent qui doit intervenir à chaque étape du workflow (Chapitre 4, p. 86–87).</w:t>
      </w:r>
    </w:p>
    <w:p>
      <w:pPr>
        <w:pStyle w:val="ListBullet"/>
      </w:pPr>
      <w:r>
        <w:t>Confirmer que l'intégration des workflows couvre les composants métadonnées, traçabilité et qualité décrits par DAMA (Chapitres 9 à 1).</w:t>
      </w:r>
    </w:p>
    <w:p>
      <w:r>
        <w:rPr>
          <w:b/>
        </w:rPr>
        <w:t>Notes:</w:t>
      </w:r>
    </w:p>
    <w:p>
      <w:pPr>
        <w:pStyle w:val="ListBullet"/>
      </w:pPr>
      <w:r>
        <w:t>Utiliser la logique d'institutionnalisation CMMI pour renforcer l'adoption des règles de gouvernance en tant que routines stables et répétables.</w:t>
      </w:r>
    </w:p>
    <w:p>
      <w:pPr>
        <w:spacing w:before="240"/>
      </w:pPr>
    </w:p>
    <w:p>
      <w:pPr>
        <w:spacing w:before="120" w:after="120"/>
      </w:pPr>
      <w:r>
        <w:rPr>
          <w:b/>
        </w:rPr>
        <w:t xml:space="preserve">Numéro de Procédure: </w:t>
      </w:r>
      <w:r>
        <w:t>3</w:t>
      </w:r>
    </w:p>
    <w:p>
      <w:pPr>
        <w:spacing w:before="120" w:after="120"/>
      </w:pPr>
      <w:r>
        <w:rPr>
          <w:b/>
        </w:rPr>
        <w:t xml:space="preserve">Nom: </w:t>
      </w:r>
      <w:r>
        <w:t>Intégrer les responsabilités de gouvernance dans les descriptions de rôles</w:t>
      </w:r>
    </w:p>
    <w:p>
      <w:pPr>
        <w:spacing w:before="120" w:after="120"/>
      </w:pPr>
      <w:r>
        <w:rPr>
          <w:b/>
        </w:rPr>
        <w:t xml:space="preserve">Prérequis: </w:t>
      </w:r>
      <w:r>
        <w:t>Nécessite des rôles de gouvernance approuvés</w:t>
      </w:r>
    </w:p>
    <w:p>
      <w:pPr>
        <w:spacing w:before="120" w:after="120"/>
      </w:pPr>
      <w:r>
        <w:rPr>
          <w:b/>
        </w:rPr>
        <w:t xml:space="preserve">Livrable: </w:t>
      </w:r>
      <w:r>
        <w:t>Descriptions de rôles mises à jour</w:t>
      </w:r>
    </w:p>
    <w:p>
      <w:r>
        <w:rPr>
          <w:b/>
        </w:rPr>
        <w:t>Recommandations:</w:t>
      </w:r>
    </w:p>
    <w:p>
      <w:pPr>
        <w:pStyle w:val="ListBullet"/>
      </w:pPr>
      <w:r>
        <w:t>Mettre à jour les descriptions de rôle selon le modèle de rôle DAMA, qui définit les responsabilités des propriétaires, gestionnaires et custodians (Chapitre 3.2, p. 55–57).</w:t>
      </w:r>
    </w:p>
    <w:p>
      <w:pPr>
        <w:pStyle w:val="ListBullet"/>
      </w:pPr>
      <w:r>
        <w:t>Assurer que les descriptions incluent les limites d'autorité et les types de décisions de gouvernance définis par DAMA (Chapitre 3, p. 51).</w:t>
      </w:r>
    </w:p>
    <w:p>
      <w:pPr>
        <w:pStyle w:val="ListBullet"/>
      </w:pPr>
      <w:r>
        <w:t>Alignez les devoirs avec les points de contrôle du cycle de vie de stewardship DAMA, incluant la création, l'approbation, la publication et la mise hors service (Chapitre 4.3, p. 92).</w:t>
      </w:r>
    </w:p>
    <w:p>
      <w:pPr>
        <w:pStyle w:val="ListBullet"/>
      </w:pPr>
      <w:r>
        <w:t>Valider que les responsabilités soutiennent les principes de communication de gouvernance et les attentes des parties prenantes décrits par DAMA (Chapitre 3.6, p. 64).</w:t>
      </w:r>
    </w:p>
    <w:p>
      <w:r>
        <w:rPr>
          <w:b/>
        </w:rPr>
        <w:t>Notes:</w:t>
      </w:r>
    </w:p>
    <w:p>
      <w:pPr>
        <w:pStyle w:val="ListBullet"/>
      </w:pPr>
      <w:r>
        <w:t>Utiliser les directives d'alignement comportemental IDGC pour promouvoir l'adhésion et l'acceptation culturelle des responsabilités de gouvernance.</w:t>
      </w:r>
    </w:p>
    <w:p>
      <w:pPr>
        <w:spacing w:before="240"/>
      </w:pPr>
    </w:p>
    <w:p>
      <w:pPr>
        <w:spacing w:before="120" w:after="120"/>
      </w:pPr>
      <w:r>
        <w:rPr>
          <w:b/>
        </w:rPr>
        <w:t xml:space="preserve">Numéro de Procédure: </w:t>
      </w:r>
      <w:r>
        <w:t>4</w:t>
      </w:r>
    </w:p>
    <w:p>
      <w:pPr>
        <w:spacing w:before="120" w:after="120"/>
      </w:pPr>
      <w:r>
        <w:rPr>
          <w:b/>
        </w:rPr>
        <w:t xml:space="preserve">Nom: </w:t>
      </w:r>
      <w:r>
        <w:t>Intégrer les points de contrôle de gouvernance dans le cycle de vie des données</w:t>
      </w:r>
    </w:p>
    <w:p>
      <w:pPr>
        <w:spacing w:before="120" w:after="120"/>
      </w:pPr>
      <w:r>
        <w:rPr>
          <w:b/>
        </w:rPr>
        <w:t xml:space="preserve">Prérequis: </w:t>
      </w:r>
      <w:r>
        <w:t>Nécessite une cartographie du cycle de vie des données</w:t>
      </w:r>
    </w:p>
    <w:p>
      <w:pPr>
        <w:spacing w:before="120" w:after="120"/>
      </w:pPr>
      <w:r>
        <w:rPr>
          <w:b/>
        </w:rPr>
        <w:t xml:space="preserve">Livrable: </w:t>
      </w:r>
      <w:r>
        <w:t>Matrice des points de contrôle du cycle de vie de la gouvernance</w:t>
      </w:r>
    </w:p>
    <w:p>
      <w:r>
        <w:rPr>
          <w:b/>
        </w:rPr>
        <w:t>Recommandations:</w:t>
      </w:r>
    </w:p>
    <w:p>
      <w:pPr>
        <w:pStyle w:val="ListBullet"/>
      </w:pPr>
      <w:r>
        <w:t>Intégrer les points de contrôle suivant la structure du cycle de vie DAMA, qui définit les points de contrôle qualité, métadonnées et gouvernance (Chapitre 4.3, p. 92).</w:t>
      </w:r>
    </w:p>
    <w:p>
      <w:pPr>
        <w:pStyle w:val="ListBullet"/>
      </w:pPr>
      <w:r>
        <w:t>Assurez l'alignement avec les définitions DAMA pour la création contrôlée, la validation, l'utilisation et la mise hors service présentées dans les chapitres de gestion des données (Chapitres 9, 10, 11).</w:t>
      </w:r>
    </w:p>
    <w:p>
      <w:pPr>
        <w:pStyle w:val="ListBullet"/>
      </w:pPr>
      <w:r>
        <w:t>Confirmer que les propriétaires des points de contrôle sont alignés avec l'autorité de gouvernance et les directives d'escalade DAMA (Chapitre 3.4, p. 60).</w:t>
      </w:r>
    </w:p>
    <w:p>
      <w:pPr>
        <w:pStyle w:val="ListBullet"/>
      </w:pPr>
      <w:r>
        <w:t>Valider que les points de contrôle du cycle de vie couvrent les responsabilités stratégiques, tactiques et opérationnelles décrites dans l'architecture fonctionnelle de gouvernance DAMA (Figure 3-2, p. 53).</w:t>
      </w:r>
    </w:p>
    <w:p>
      <w:r>
        <w:rPr>
          <w:b/>
        </w:rPr>
        <w:t>Notes:</w:t>
      </w:r>
    </w:p>
    <w:p>
      <w:pPr>
        <w:pStyle w:val="ListBullet"/>
      </w:pPr>
      <w:r>
        <w:t>Utilisez les critères de capacité du cycle de vie DCAM pour renforcer la couverture de la gouvernance du cycle de vie et assurer que les points de contrôle peuvent être efficacement surveillés.</w:t>
      </w:r>
    </w:p>
    <w:p>
      <w:pPr>
        <w:spacing w:before="240"/>
      </w:pPr>
    </w:p>
    <w:p>
      <w:pPr>
        <w:spacing w:before="120" w:after="120"/>
      </w:pPr>
      <w:r>
        <w:rPr>
          <w:b/>
        </w:rPr>
        <w:t xml:space="preserve">Numéro de Procédure: </w:t>
      </w:r>
      <w:r>
        <w:t>5</w:t>
      </w:r>
    </w:p>
    <w:p>
      <w:pPr>
        <w:spacing w:before="120" w:after="120"/>
      </w:pPr>
      <w:r>
        <w:rPr>
          <w:b/>
        </w:rPr>
        <w:t xml:space="preserve">Nom: </w:t>
      </w:r>
      <w:r>
        <w:t>Appliquer les contrôles de gouvernance aux opérations de domaine</w:t>
      </w:r>
    </w:p>
    <w:p>
      <w:pPr>
        <w:spacing w:before="120" w:after="120"/>
      </w:pPr>
      <w:r>
        <w:rPr>
          <w:b/>
        </w:rPr>
        <w:t xml:space="preserve">Prérequis: </w:t>
      </w:r>
      <w:r>
        <w:t>Nécessite des structures définies de gestion et de propriété</w:t>
      </w:r>
    </w:p>
    <w:p>
      <w:pPr>
        <w:spacing w:before="120" w:after="120"/>
      </w:pPr>
      <w:r>
        <w:rPr>
          <w:b/>
        </w:rPr>
        <w:t xml:space="preserve">Livrable: </w:t>
      </w:r>
      <w:r>
        <w:t>Journal de contrôle de gouvernance de domaine</w:t>
      </w:r>
    </w:p>
    <w:p>
      <w:r>
        <w:rPr>
          <w:b/>
        </w:rPr>
        <w:t>Recommandations:</w:t>
      </w:r>
    </w:p>
    <w:p>
      <w:pPr>
        <w:pStyle w:val="ListBullet"/>
      </w:pPr>
      <w:r>
        <w:t>Appliquer les contrôles en utilisant les définitions DAMA pour la supervision de la gouvernance, incluant la surveillance, l'approbation et les actions correctives (Chapitre 3.3, p. 58–59).</w:t>
      </w:r>
    </w:p>
    <w:p>
      <w:pPr>
        <w:pStyle w:val="ListBullet"/>
      </w:pPr>
      <w:r>
        <w:t>Assurer que les contrôles restent conformes aux principes DAMA pour la transparence des décisions et l’application de la qualité (Chapitre 3.4, p. 60).</w:t>
      </w:r>
    </w:p>
    <w:p>
      <w:pPr>
        <w:pStyle w:val="ListBullet"/>
      </w:pPr>
      <w:r>
        <w:t>Confirmez que les gestionnaires de domaine appliquent les contrôles selon les responsabilités DAMA pour la définition des données, la supervision des accès et la gestion du cycle de vie (Chapitre 4, p. 86–89).</w:t>
      </w:r>
    </w:p>
    <w:p>
      <w:pPr>
        <w:pStyle w:val="ListBullet"/>
      </w:pPr>
      <w:r>
        <w:t>Valider que l'exécution des contrôles intègre les règles de qualité et de métadonnées DAMA décrites dans les chapitres pertinents de gestion des données (Chapitres 9, 10, 11).</w:t>
      </w:r>
    </w:p>
    <w:p>
      <w:r>
        <w:rPr>
          <w:b/>
        </w:rPr>
        <w:t>Notes:</w:t>
      </w:r>
    </w:p>
    <w:p>
      <w:pPr>
        <w:pStyle w:val="ListBullet"/>
      </w:pPr>
      <w:r>
        <w:t>Appliquer les pratiques de surveillance CMMI pour garantir que les contrôles de gouvernance sont continuellement évalués et améliorés.</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3.4.2.4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5"/>
      </w:pPr>
      <w:r>
        <w:t>Éléments d'exemple</w:t>
      </w:r>
    </w:p>
    <w:p>
      <w:pPr>
        <w:pStyle w:val="Heading5"/>
      </w:pPr>
      <w:r>
        <w:t>Couverture Organisationnelle : Tous les domaines de données au sein de l'organisation.</w:t>
      </w:r>
    </w:p>
    <w:p>
      <w:pPr>
        <w:pStyle w:val="Heading5"/>
      </w:pPr>
      <w:r>
        <w:t>Couverture des Actifs de Données : Tous les actifs de données critiques identifiés dans le cadre de gouvernance.</w:t>
      </w:r>
    </w:p>
    <w:p>
      <w:pPr>
        <w:pStyle w:val="Heading5"/>
      </w:pPr>
      <w:r>
        <w:t>Thèmes de Gouvernance : Qualité des données, sécurité des données, confidentialité des données.</w:t>
      </w:r>
    </w:p>
    <w:p>
      <w:pPr>
        <w:pStyle w:val="Heading5"/>
      </w:pPr>
      <w:r>
        <w:t>Structure Organisationnelle de Gouvernance : Conseil de Gouvernance des Données, Bureau de Gouvernance des Données, Propriétaires de Données, Gardiens de Données.</w:t>
      </w:r>
    </w:p>
    <w:p>
      <w:pPr>
        <w:pStyle w:val="Heading5"/>
      </w:pPr>
      <w:r>
        <w:t>Modèle d'Autorité Décisionnelle : Rôles et responsabilités définis pour la prise de décision.</w:t>
      </w:r>
    </w:p>
    <w:p>
      <w:pPr>
        <w:pStyle w:val="Heading5"/>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5"/>
      </w:pPr>
      <w:r>
        <w:t>Interfaces avec d'Autres Structures de Gouvernance : Interaction avec d'autres cadres de gouvernance au sein de l'organisation.</w:t>
      </w:r>
    </w:p>
    <w:p>
      <w:pPr>
        <w:pStyle w:val="Heading5"/>
      </w:pPr>
      <w:r>
        <w:t>Exclusions Explicites : Zones non couvertes par ce cadre de gouvernance.</w:t>
      </w:r>
    </w:p>
    <w:p>
      <w:pPr>
        <w:pStyle w:val="Heading4"/>
      </w:pPr>
      <w:r>
        <w:t>3.4.2.5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3.4.2.6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5"/>
      </w:pPr>
      <w:r>
        <w:t>Éléments d'exemple</w:t>
      </w:r>
    </w:p>
    <w:p>
      <w:pPr>
        <w:pStyle w:val="Heading5"/>
      </w:pPr>
      <w:r>
        <w:t>Gestion du Cycle de Vie : Procédures pour les mises à jour et révisions du document.</w:t>
      </w:r>
    </w:p>
    <w:p>
      <w:pPr>
        <w:pStyle w:val="Heading5"/>
      </w:pPr>
      <w:r>
        <w:t>Cycle de Révision : Fréquence des revues de documents (par exemple, annuellement).</w:t>
      </w:r>
    </w:p>
    <w:p>
      <w:pPr>
        <w:pStyle w:val="Heading5"/>
      </w:pPr>
      <w:r>
        <w:t>Propriété du Document : Désignation du Bureau de Gouvernance des Données comme propriétaire du document.</w:t>
      </w:r>
    </w:p>
    <w:p>
      <w:pPr>
        <w:pStyle w:val="Heading4"/>
      </w:pPr>
      <w:r>
        <w:t>3.4.2.7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3.4.2.8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3.5 DA · Data Architecture</w:t>
      </w:r>
    </w:p>
    <w:p>
      <w:pPr>
        <w:pStyle w:val="Heading3"/>
      </w:pPr>
      <w:r>
        <w:t>3.5.1 Contextualisation du Domaine Évalué</w:t>
      </w:r>
    </w:p>
    <w:p>
      <w:r>
        <w:rPr>
          <w:b/>
        </w:rPr>
        <w:t xml:space="preserve">Description : </w:t>
      </w:r>
      <w:r>
        <w:t>Les éléments de ce domaine évaluent les principes architecturaux, la présence d'une architecture de données de référence, l'intégration des perspectives métier et données, ainsi que l'alignement des définitions structurelles avec les stratégies organisationnelles. Ces éléments sont des mécanismes fondamentaux qui permettent une gouvernance évolutive et durable. La recherche montre de manière constante que l'architecture des données fonctionne comme une couche structurelle centrale qui soutient l'interopérabilité, la cohérence, la gouvernance du cycle de vie et l'évolution contrôlée des actifs de données à travers l'entreprise (Legner et al., 2020)</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Cette procédure s'applique à tous les flux de travail de données au sein de l'organisation.</w:t>
      </w:r>
    </w:p>
    <w:p>
      <w:pPr>
        <w:spacing w:after="120"/>
      </w:pPr>
      <w:r>
        <w:t>Code de l'action déclenchée: DA-04</w:t>
      </w:r>
    </w:p>
    <w:p>
      <w:pPr>
        <w:pStyle w:val="Heading3"/>
      </w:pPr>
      <w:r>
        <w:t>3.5.2 Pack de Procédures Prescriptives</w:t>
      </w:r>
    </w:p>
    <w:p>
      <w:pPr>
        <w:spacing w:after="120"/>
      </w:pPr>
      <w:r>
        <w:t>Le package prescriptif consolide les actions spécifiques nécessaires à l’évolution du niveau de maturité.</w:t>
        <w:br/>
      </w:r>
    </w:p>
    <w:p>
      <w:pPr>
        <w:pStyle w:val="Heading4"/>
      </w:pPr>
      <w:r>
        <w:t>3.5.2.1 Contrôle de Document</w:t>
      </w:r>
    </w:p>
    <w:p>
      <w:r>
        <w:rPr>
          <w:b/>
        </w:rPr>
        <w:t xml:space="preserve">Objectif: </w:t>
      </w:r>
      <w:r>
        <w:t>Établir les métadonnées fondamentales pour le document, garantissant la traçabilité et la responsabilité.</w:t>
      </w:r>
    </w:p>
    <w:p>
      <w:r>
        <w:rPr>
          <w:b/>
        </w:rPr>
        <w:t xml:space="preserve">Contenu attendu: </w:t>
      </w:r>
      <w:r>
        <w:t>Titre du document, détails de version, autorité d'approbation et historique des révisions.</w:t>
      </w:r>
    </w:p>
    <w:p>
      <w:pPr>
        <w:pStyle w:val="Heading5"/>
      </w:pPr>
      <w:r>
        <w:t>Éléments d'exemple</w:t>
      </w:r>
    </w:p>
    <w:p>
      <w:pPr>
        <w:pStyle w:val="Heading5"/>
      </w:pPr>
      <w:r>
        <w:t>Titre du Document : Procédure de Gouvernance des Données pour l'Intégration de la Gouvernance de l'Architecture dans les Flux de Travail</w:t>
      </w:r>
    </w:p>
    <w:p>
      <w:pPr>
        <w:pStyle w:val="Heading5"/>
      </w:pPr>
      <w:r>
        <w:t>Version et Statut : Version 1.0, Approuvé</w:t>
      </w:r>
    </w:p>
    <w:p>
      <w:pPr>
        <w:pStyle w:val="Heading5"/>
      </w:pPr>
      <w:r>
        <w:t>Autorité d'Approbation : Conseil de Gouvernance des Données</w:t>
      </w:r>
    </w:p>
    <w:p>
      <w:pPr>
        <w:pStyle w:val="Heading5"/>
      </w:pPr>
      <w:r>
        <w:t>Historique des Révisions : Première publication le [Date], révisée le [Date]</w:t>
      </w:r>
    </w:p>
    <w:p>
      <w:pPr>
        <w:pStyle w:val="Heading4"/>
      </w:pPr>
      <w:r>
        <w:t>3.5.2.2 Définition de l'Action</w:t>
      </w:r>
    </w:p>
    <w:p>
      <w:r>
        <w:rPr>
          <w:b/>
        </w:rPr>
        <w:t xml:space="preserve">Objectif: </w:t>
      </w:r>
      <w:r>
        <w:t>Articuler clairement l'action définie, y compris ses objectifs et ses limites de portée.</w:t>
      </w:r>
    </w:p>
    <w:p>
      <w:r>
        <w:rPr>
          <w:b/>
        </w:rPr>
        <w:t xml:space="preserve">Contenu attendu: </w:t>
      </w:r>
      <w:r>
        <w:t>Code d'action, titre, objectifs et limites de portée.</w:t>
      </w:r>
    </w:p>
    <w:p>
      <w:pPr>
        <w:pStyle w:val="Heading5"/>
      </w:pPr>
      <w:r>
        <w:t>Éléments d'exemple</w:t>
      </w:r>
    </w:p>
    <w:p>
      <w:pPr>
        <w:pStyle w:val="Heading5"/>
      </w:pPr>
      <w:r>
        <w:t>Code et Titre de l'Action : DA-04 - Intégrer la gouvernance de l'architecture dans les flux de travail</w:t>
      </w:r>
    </w:p>
    <w:p>
      <w:pPr>
        <w:pStyle w:val="Heading5"/>
      </w:pPr>
      <w:r>
        <w:t>Objectif de l'Action : Intégrer des points de contrôle de gouvernance de l'architecture dans les flux de travail existants.</w:t>
      </w:r>
    </w:p>
    <w:p>
      <w:pPr>
        <w:pStyle w:val="Heading5"/>
      </w:pPr>
      <w:r>
        <w:t>Limites de Portée de l'Action : Cette action s'applique à tous les flux de travail impliquant la création, la transformation et la publication de données.</w:t>
      </w:r>
    </w:p>
    <w:p>
      <w:pPr>
        <w:pStyle w:val="Heading4"/>
      </w:pPr>
      <w:r>
        <w:t>3.5.2.3 Définition de la Procédure</w:t>
      </w:r>
    </w:p>
    <w:p>
      <w:r>
        <w:rPr>
          <w:b/>
        </w:rPr>
        <w:t xml:space="preserve">Objectif: </w:t>
      </w:r>
      <w:r>
        <w:t>Détaillez la structure d'exécution étape par étape pour l'action, y compris les prérequis et les livrables.</w:t>
      </w:r>
    </w:p>
    <w:p>
      <w:r>
        <w:rPr>
          <w:b/>
        </w:rPr>
        <w:t xml:space="preserve">Contenu attendu: </w:t>
      </w:r>
      <w:r>
        <w:t>Objectif de la procédure, prérequis, livrables et cadre d'exécution structuré.</w:t>
      </w:r>
    </w:p>
    <w:p>
      <w:pPr>
        <w:pStyle w:val="Heading5"/>
      </w:pPr>
      <w:r>
        <w:t>Éléments d'exemple</w:t>
      </w:r>
    </w:p>
    <w:p>
      <w:pPr>
        <w:pStyle w:val="Heading5"/>
      </w:pPr>
      <w:r>
        <w:t>Objectif de la Procédure : Garantir que la gouvernance de l'architecture est intégrée dans les flux de travail par le biais de points de contrôle définis.</w:t>
      </w:r>
    </w:p>
    <w:p>
      <w:pPr>
        <w:pStyle w:val="Heading5"/>
      </w:pPr>
      <w:r>
        <w:t>Prérequis : Nécessite des rôles et des normes DA-03.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Intégrer les points de contrôle architecturaux dans les flux de travail des domaines</w:t>
      </w:r>
    </w:p>
    <w:p>
      <w:pPr>
        <w:spacing w:before="120" w:after="120"/>
      </w:pPr>
      <w:r>
        <w:rPr>
          <w:b/>
        </w:rPr>
        <w:t xml:space="preserve">Prérequis: </w:t>
      </w:r>
      <w:r>
        <w:t>Nécessite des rôles et normes DA-03</w:t>
      </w:r>
    </w:p>
    <w:p>
      <w:pPr>
        <w:spacing w:before="120" w:after="120"/>
      </w:pPr>
      <w:r>
        <w:rPr>
          <w:b/>
        </w:rPr>
        <w:t xml:space="preserve">Livrable: </w:t>
      </w:r>
      <w:r>
        <w:t>Modèles de workflow mis à jour</w:t>
      </w:r>
    </w:p>
    <w:p>
      <w:r>
        <w:rPr>
          <w:b/>
        </w:rPr>
        <w:t>Recommandations:</w:t>
      </w:r>
    </w:p>
    <w:p>
      <w:pPr>
        <w:pStyle w:val="ListBullet"/>
      </w:pPr>
      <w:r>
        <w:t>Intégrer des points de contrôle en utilisant les directives DAMA pour intégrer les contrôles structurels dans les processus opérationnels et analytiques de données comme décrit dans DMBOK2 (Chapitre 3.3, p. 58–59).</w:t>
      </w:r>
    </w:p>
    <w:p>
      <w:pPr>
        <w:pStyle w:val="ListBullet"/>
      </w:pPr>
      <w:r>
        <w:t>Assurer que les points de contrôle reflètent les attentes de contrôle du cycle de vie DAMA pour la création, la transformation et la publication (Chapitre 4.3, p. 92).</w:t>
      </w:r>
    </w:p>
    <w:p>
      <w:pPr>
        <w:pStyle w:val="ListBullet"/>
      </w:pPr>
      <w:r>
        <w:t>Valider que chaque point de contrôle traite les règles DAMA pour les métadonnées, la lignée et la cohérence structurelle (Chapitres 10 et 11).</w:t>
      </w:r>
    </w:p>
    <w:p>
      <w:pPr>
        <w:pStyle w:val="ListBullet"/>
      </w:pPr>
      <w:r>
        <w:t>Confirmer l'alignement avec les responsabilités de stewardship DAMA pour appliquer les limites décisionnelles aux étapes du workflow (Chapitre 4, p. 86–87).</w:t>
      </w:r>
    </w:p>
    <w:p>
      <w:r>
        <w:rPr>
          <w:b/>
        </w:rPr>
        <w:t>Notes:</w:t>
      </w:r>
    </w:p>
    <w:p>
      <w:pPr>
        <w:pStyle w:val="ListBullet"/>
      </w:pPr>
      <w:r>
        <w:t>Utiliser la cartographie des capacités de flux de travail DCAM pour garantir que les points de contrôle renforcent les objectifs d'architecture d'entreprise.</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d'architecture dans les décisions de modélisation et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Intégrer les critères basés sur les attentes de modélisation et structurelles DAMA qui définissent comment l'architecture doit guider la conception conceptuelle, logique et physique (Chapitre 10, p. 282–284).</w:t>
      </w:r>
    </w:p>
    <w:p>
      <w:pPr>
        <w:pStyle w:val="ListBullet"/>
      </w:pPr>
      <w:r>
        <w:t>Assurez-vous que les dépendances structurelles sont alignées avec la gouvernance de l'architecture fonctionnelle DAMA couvrant la clarté sémantique et le sens métier (Chapitre 3.3, p. 58).</w:t>
      </w:r>
    </w:p>
    <w:p>
      <w:pPr>
        <w:pStyle w:val="ListBullet"/>
      </w:pPr>
      <w:r>
        <w:t>Valider les décisions d'intégration en utilisant les règles de qualité et de métadonnées DAMA (Chapitre 11, p. 308–311).</w:t>
      </w:r>
    </w:p>
    <w:p>
      <w:pPr>
        <w:pStyle w:val="ListBullet"/>
      </w:pPr>
      <w:r>
        <w:t>Confirmer l'alignement avec les responsabilités de stewardship DAMA pour la définition et l'approbation des normes de modélisation (Chapitre 4, p. 86–89).</w:t>
      </w:r>
    </w:p>
    <w:p>
      <w:r>
        <w:rPr>
          <w:b/>
        </w:rPr>
        <w:t>Notes:</w:t>
      </w:r>
    </w:p>
    <w:p>
      <w:pPr>
        <w:pStyle w:val="ListBullet"/>
      </w:pPr>
      <w:r>
        <w:t>Utiliser la logique de vérification de conception CMMI pour renforcer la traçabilité et la correction structurelle.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architecturales</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selon le modèle de cycle de vie DAMA, qui définit les points de contrôle pour la gouvernance de l'évolution structurelle (Chapitre 4.3, p. 92).</w:t>
      </w:r>
    </w:p>
    <w:p>
      <w:pPr>
        <w:pStyle w:val="ListBullet"/>
      </w:pPr>
      <w:r>
        <w:t>Assurez que les exigences architecturales restent alignées avec les attentes DAMA pour la structure des métadonnées et la documentation de traçabilité (Chapitre 10, p. 282).</w:t>
      </w:r>
    </w:p>
    <w:p>
      <w:pPr>
        <w:pStyle w:val="ListBullet"/>
      </w:pPr>
      <w:r>
        <w:t>Valider que les descriptions du cycle de vie reflètent les responsabilités DAMA pour les propriétaires et gestionnaires (Chapitre 4, p. 86–87).</w:t>
      </w:r>
    </w:p>
    <w:p>
      <w:pPr>
        <w:pStyle w:val="ListBullet"/>
      </w:pPr>
      <w:r>
        <w:t>Confirmer que les dépendances structurelles et les points de changement suivent les règles de gouvernance DAMA (Chapitre 3.5, p. 62–63).</w:t>
      </w:r>
    </w:p>
    <w:p>
      <w:r>
        <w:rPr>
          <w:b/>
        </w:rPr>
        <w:t>Notes:</w:t>
      </w:r>
    </w:p>
    <w:p>
      <w:pPr>
        <w:pStyle w:val="ListBullet"/>
      </w:pPr>
      <w:r>
        <w:t>Utilisez les indicateurs de capacité du cycle de vie DCAM pour améliorer la cohérence entre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Appliquer des contrôles structurels dans les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 des contrôles architecturaux.</w:t>
      </w:r>
    </w:p>
    <w:p>
      <w:r>
        <w:rPr>
          <w:b/>
        </w:rPr>
        <w:t>Recommandations:</w:t>
      </w:r>
    </w:p>
    <w:p>
      <w:pPr>
        <w:pStyle w:val="ListBullet"/>
      </w:pPr>
      <w:r>
        <w:t>Appliquer les contrôles conformément aux attentes de gouvernance structurelle de DAMA qui exigent la validation des modèles, des relations et de la sémantique avant approbation (Chapitre 3.3, p. 58).</w:t>
      </w:r>
    </w:p>
    <w:p>
      <w:pPr>
        <w:pStyle w:val="ListBullet"/>
      </w:pPr>
      <w:r>
        <w:t>S'assurer que les contrôles intègrent les indicateurs de qualité des métadonnées, de traçabilité et sémantique issus de DAMA (Chapitres 10 et 11).</w:t>
      </w:r>
    </w:p>
    <w:p>
      <w:pPr>
        <w:pStyle w:val="ListBullet"/>
      </w:pPr>
      <w:r>
        <w:t>Valider que les points de décision appliquent les responsabilités de gouvernance, y compris l'approbation, l'escalade et l'action corrective (Chapitre 4, p. 86–89).</w:t>
      </w:r>
    </w:p>
    <w:p>
      <w:pPr>
        <w:pStyle w:val="ListBullet"/>
      </w:pPr>
      <w:r>
        <w:t>Confirmer que les contrôles structurels restent alignés avec les points de contrôle du cycle de vie DAMA (Chapitre 4.3, p. 92).</w:t>
      </w:r>
    </w:p>
    <w:p>
      <w:r>
        <w:rPr>
          <w:b/>
        </w:rPr>
        <w:t>Notes:</w:t>
      </w:r>
    </w:p>
    <w:p>
      <w:pPr>
        <w:pStyle w:val="ListBullet"/>
      </w:pPr>
      <w:r>
        <w:t>Utiliser les activités de vérification CMMI pour renforcer la répétabilité de l'application du contrôle architectural.</w:t>
      </w:r>
    </w:p>
    <w:p>
      <w:pPr>
        <w:spacing w:before="240"/>
      </w:pPr>
    </w:p>
    <w:p>
      <w:pPr>
        <w:spacing w:before="120" w:after="120"/>
      </w:pPr>
      <w:r>
        <w:rPr>
          <w:b/>
        </w:rPr>
        <w:t xml:space="preserve">Numéro de Procédure: </w:t>
      </w:r>
      <w:r>
        <w:t>5</w:t>
      </w:r>
    </w:p>
    <w:p>
      <w:pPr>
        <w:spacing w:before="120" w:after="120"/>
      </w:pPr>
      <w:r>
        <w:rPr>
          <w:b/>
        </w:rPr>
        <w:t xml:space="preserve">Nom: </w:t>
      </w:r>
      <w:r>
        <w:t>Suivre l’adhérence architecturale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architecturale</w:t>
      </w:r>
    </w:p>
    <w:p>
      <w:r>
        <w:rPr>
          <w:b/>
        </w:rPr>
        <w:t>Recommandations:</w:t>
      </w:r>
    </w:p>
    <w:p>
      <w:pPr>
        <w:pStyle w:val="ListBullet"/>
      </w:pPr>
      <w:r>
        <w:t>Suivez l'adhérence en utilisant les attentes de surveillance de gouvernance DAMA qui mettent l'accent sur la cohérence structurelle et l'alignement inter-domaines (Chapitre 3.6, p. 64).</w:t>
      </w:r>
    </w:p>
    <w:p>
      <w:pPr>
        <w:pStyle w:val="ListBullet"/>
      </w:pPr>
      <w:r>
        <w:t>S'assurer que les contrôles d'adhérence incluent les contrôles de métadonnées et sémantiques définis par DAMA (Chapitre 10, p. 282–284).</w:t>
      </w:r>
    </w:p>
    <w:p>
      <w:pPr>
        <w:pStyle w:val="ListBullet"/>
      </w:pPr>
      <w:r>
        <w:t>Valider les écarts par rapport aux attentes des rôles du cycle de vie DAMA (Chapitre 4.3, p. 92).</w:t>
      </w:r>
    </w:p>
    <w:p>
      <w:pPr>
        <w:pStyle w:val="ListBullet"/>
      </w:pPr>
      <w:r>
        <w:t>Confirmez que la capture des preuves suit les pratiques de documentation des artefacts DAMA (Chapitre 3 Annexe, p. 69).</w:t>
      </w:r>
    </w:p>
    <w:p>
      <w:r>
        <w:rPr>
          <w:b/>
        </w:rPr>
        <w:t>Notes:</w:t>
      </w:r>
    </w:p>
    <w:p>
      <w:pPr>
        <w:pStyle w:val="ListBullet"/>
      </w:pPr>
      <w:r>
        <w:t>Utiliser les indicateurs d'assurance DCAM pour identifier les points chauds structurels et les zones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Cartographier les Flux de Travail Existants</w:t>
      </w:r>
    </w:p>
    <w:p>
      <w:pPr>
        <w:pStyle w:val="ListBullet"/>
      </w:pPr>
      <w:r>
        <w:t>Définir les Points de Contrôle</w:t>
      </w:r>
    </w:p>
    <w:p>
      <w:pPr>
        <w:pStyle w:val="ListBullet"/>
      </w:pPr>
      <w:r>
        <w:t>Créer des Modèles Standardisés</w:t>
      </w:r>
    </w:p>
    <w:p>
      <w:pPr>
        <w:pStyle w:val="ListBullet"/>
      </w:pPr>
      <w:r>
        <w:t>Assigner des Rôles et Responsabilités</w:t>
      </w:r>
    </w:p>
    <w:p>
      <w:pPr>
        <w:pStyle w:val="ListBullet"/>
      </w:pPr>
      <w:r>
        <w:t>Valider l'Alignement avec DCAM</w:t>
      </w:r>
    </w:p>
    <w:p>
      <w:pPr>
        <w:pStyle w:val="ListBullet"/>
      </w:pPr>
      <w:r>
        <w:t>Revue et Approbation des Parties Prenantes</w:t>
      </w:r>
    </w:p>
    <w:p>
      <w:pPr>
        <w:pStyle w:val="ListBullet"/>
      </w:pPr>
      <w:r>
        <w:t>Communiquer et Former</w:t>
      </w:r>
    </w:p>
    <w:p>
      <w:pPr>
        <w:pStyle w:val="ListBullet"/>
      </w:pPr>
      <w:r>
        <w:t>Surveiller et Itérer</w:t>
      </w:r>
    </w:p>
    <w:p>
      <w:pPr>
        <w:pStyle w:val="Heading4"/>
      </w:pPr>
      <w:r>
        <w:t>3.5.2.4 Composants Structurels de Gouvernance</w:t>
      </w:r>
    </w:p>
    <w:p>
      <w:r>
        <w:rPr>
          <w:b/>
        </w:rPr>
        <w:t xml:space="preserve">Objectif: </w:t>
      </w:r>
      <w:r>
        <w:t>Décrire le cadre de gouvernance qui soutient l'action, y compris les rôles, responsabilités et processus.</w:t>
      </w:r>
    </w:p>
    <w:p>
      <w:r>
        <w:rPr>
          <w:b/>
        </w:rPr>
        <w:t xml:space="preserve">Contenu attendu: </w:t>
      </w:r>
      <w:r>
        <w:t>Couverture des actifs organisationnels et des données, thèmes de gouvernance, structure, autorité décisionnelle, processus, interfaces et exclusions.</w:t>
      </w:r>
    </w:p>
    <w:p>
      <w:pPr>
        <w:pStyle w:val="Heading5"/>
      </w:pPr>
      <w:r>
        <w:t>Éléments d'exemple</w:t>
      </w:r>
    </w:p>
    <w:p>
      <w:pPr>
        <w:pStyle w:val="Heading5"/>
      </w:pPr>
      <w:r>
        <w:t>Couverture Organisationnelle : Tous les départements impliqués dans la gestion des données.</w:t>
      </w:r>
    </w:p>
    <w:p>
      <w:pPr>
        <w:pStyle w:val="Heading5"/>
      </w:pPr>
      <w:r>
        <w:t>Couverture des Actifs de Données : Tous les actifs de données soumis à la gouvernance.</w:t>
      </w:r>
    </w:p>
    <w:p>
      <w:pPr>
        <w:pStyle w:val="Heading5"/>
      </w:pPr>
      <w:r>
        <w:t>Thèmes de Gouvernance : Qualité des données, conformité et alignement de l'architecture.</w:t>
      </w:r>
    </w:p>
    <w:p>
      <w:pPr>
        <w:pStyle w:val="Heading5"/>
      </w:pPr>
      <w:r>
        <w:t>Structure Organisationnelle de Gouvernance : Conseil de Gouvernance des Données, Bureau de Gouvernance des Données, Propriétaires de Données, Intendants de Données, Gardiens de Données.</w:t>
      </w:r>
    </w:p>
    <w:p>
      <w:pPr>
        <w:pStyle w:val="Heading5"/>
      </w:pPr>
      <w:r>
        <w:t>Modèle d'Autorité Décisionnelle : Rôles définis pour la prise de décision dans le cadre de gouvernance.</w:t>
      </w:r>
    </w:p>
    <w:p>
      <w:pPr>
        <w:pStyle w:val="Heading5"/>
      </w:pPr>
      <w:r>
        <w:t>Processus de Gouvernance</w:t>
      </w:r>
    </w:p>
    <w:p>
      <w:pPr>
        <w:pStyle w:val="ListBullet"/>
      </w:pPr>
      <w:r>
        <w:t>Établir des points de contrôle dans les flux de travail</w:t>
      </w:r>
    </w:p>
    <w:p>
      <w:pPr>
        <w:pStyle w:val="ListBullet"/>
      </w:pPr>
      <w:r>
        <w:t>Surveiller la conformité aux normes de gouvernance</w:t>
      </w:r>
    </w:p>
    <w:p>
      <w:pPr>
        <w:pStyle w:val="ListBullet"/>
      </w:pPr>
      <w:r>
        <w:t>Revoir et approuver les modèles de flux de travail</w:t>
      </w:r>
    </w:p>
    <w:p>
      <w:pPr>
        <w:pStyle w:val="ListBullet"/>
      </w:pPr>
      <w:r>
        <w:t>Conduire des sessions de formation</w:t>
      </w:r>
    </w:p>
    <w:p>
      <w:pPr>
        <w:pStyle w:val="ListBullet"/>
      </w:pPr>
      <w:r>
        <w:t>Effectuer des audits réguliers</w:t>
      </w:r>
    </w:p>
    <w:p>
      <w:pPr>
        <w:pStyle w:val="Heading5"/>
      </w:pPr>
      <w:r>
        <w:t>Interfaces avec d'autres Structures de Gouvernance : Coordination avec d'autres domaines de gouvernance si nécessaire.</w:t>
      </w:r>
    </w:p>
    <w:p>
      <w:pPr>
        <w:pStyle w:val="Heading5"/>
      </w:pPr>
      <w:r>
        <w:t>Exclusions Explicites : Tous les flux de travail ne relevant pas des principes de gouvernance des données.</w:t>
      </w:r>
    </w:p>
    <w:p>
      <w:pPr>
        <w:pStyle w:val="Heading4"/>
      </w:pPr>
      <w:r>
        <w:t>3.5.2.5 Mécanismes de Contrôle et de Surveillance</w:t>
      </w:r>
    </w:p>
    <w:p>
      <w:r>
        <w:rPr>
          <w:b/>
        </w:rPr>
        <w:t xml:space="preserve">Objectif: </w:t>
      </w:r>
      <w:r>
        <w:t>Définir les mécanismes de contrôle et de surveillance formels applicables à cette action.</w:t>
      </w:r>
    </w:p>
    <w:p>
      <w:pPr>
        <w:pStyle w:val="Heading5"/>
      </w:pPr>
      <w:r>
        <w:t>Surveillance et KPI</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les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l'autorité d'escalade responsable</w:t>
      </w:r>
    </w:p>
    <w:p>
      <w:pPr>
        <w:pStyle w:val="ListBullet"/>
      </w:pPr>
      <w:r>
        <w:t>Définir un flux de travail de résolution documenté</w:t>
      </w:r>
    </w:p>
    <w:p>
      <w:pPr>
        <w:pStyle w:val="Heading4"/>
      </w:pPr>
      <w:r>
        <w:t>3.5.2.6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du dépôt ACR12____</w:t>
      </w:r>
    </w:p>
    <w:p>
      <w:pPr>
        <w:pStyle w:val="ListBullet"/>
      </w:pPr>
      <w:r>
        <w:t>Preuve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3.6 DMD · Data Modelling and Design</w:t>
      </w:r>
    </w:p>
    <w:p>
      <w:pPr>
        <w:pStyle w:val="Heading3"/>
      </w:pPr>
      <w:r>
        <w:t>3.6.1 Contextualisation du Domaine Évalué</w:t>
      </w:r>
    </w:p>
    <w:p>
      <w:r>
        <w:rPr>
          <w:b/>
        </w:rPr>
        <w:t xml:space="preserve">Description : </w:t>
      </w:r>
      <w:r>
        <w:t>Ce domaine examine les pratiques de modélisation conceptuelle, logique et physique, les normes qui régissent leur création et maintenance, ainsi que le degré d’alignement des définitions structurelles avec la sémantique métier. La modélisation fournit la base structurelle de la Gouvernance des Données en établissant un sens partagé, des structures de données cohérentes et des relations traçables à travers l’organisation. Cela s’aligne avec la classification de la modélisation par DAMA en tant que fonction structurelle centrale permettant la cohérence, l’interopérabilité et une gestion fiable du cycle de vie des données (DAMA International, 2017).</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Entreprise de taille moyenne axée sur la prise de décision basée sur les données.</w:t>
      </w:r>
    </w:p>
    <w:p>
      <w:pPr>
        <w:spacing w:after="120"/>
      </w:pPr>
      <w:r>
        <w:t>Code de l'action déclenchée: DMD-04</w:t>
      </w:r>
    </w:p>
    <w:p>
      <w:pPr>
        <w:pStyle w:val="Heading3"/>
      </w:pPr>
      <w:r>
        <w:t>3.6.2 Pack de Procédures Prescriptives</w:t>
      </w:r>
    </w:p>
    <w:p>
      <w:pPr>
        <w:spacing w:after="120"/>
      </w:pPr>
      <w:r>
        <w:t>Le package prescriptif consolide les actions spécifiques nécessaires à l’évolution du niveau de maturité.</w:t>
        <w:br/>
      </w:r>
    </w:p>
    <w:p>
      <w:pPr>
        <w:pStyle w:val="Heading4"/>
      </w:pPr>
      <w:r>
        <w:t>3.6.2.1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Exemples</w:t>
      </w:r>
    </w:p>
    <w:p>
      <w:pPr>
        <w:pStyle w:val="Heading5"/>
      </w:pPr>
      <w:r>
        <w:t>Titre du Document : Procédure de Gouvernance des Données pour l'Intégration de Modélisation</w:t>
      </w:r>
    </w:p>
    <w:p>
      <w:pPr>
        <w:pStyle w:val="Heading5"/>
      </w:pPr>
      <w:r>
        <w:t>Version et Statut : Version 1.0 - Projet</w:t>
      </w:r>
    </w:p>
    <w:p>
      <w:pPr>
        <w:pStyle w:val="Heading5"/>
      </w:pPr>
      <w:r>
        <w:t>Autorité d'Approbation : Conseil de Gouvernance des Données</w:t>
      </w:r>
    </w:p>
    <w:p>
      <w:pPr>
        <w:pStyle w:val="Heading5"/>
      </w:pPr>
      <w:r>
        <w:t>Historique des Révisions : Création initiale le [Date], révisions le [Date].</w:t>
      </w:r>
    </w:p>
    <w:p>
      <w:pPr>
        <w:pStyle w:val="Heading4"/>
      </w:pPr>
      <w:r>
        <w:t>3.6.2.2 Définition de l'Action</w:t>
      </w:r>
    </w:p>
    <w:p>
      <w:r>
        <w:rPr>
          <w:b/>
        </w:rPr>
        <w:t xml:space="preserve">Objectif: </w:t>
      </w:r>
      <w:r>
        <w:t>Clarifier l'action spécifique abordée dans le document.</w:t>
      </w:r>
    </w:p>
    <w:p>
      <w:r>
        <w:rPr>
          <w:b/>
        </w:rPr>
        <w:t xml:space="preserve">Contenu Attendu: </w:t>
      </w:r>
      <w:r>
        <w:t>Code d'action, titre, objectif et limites de portée.</w:t>
      </w:r>
    </w:p>
    <w:p>
      <w:pPr>
        <w:pStyle w:val="Heading5"/>
      </w:pPr>
      <w:r>
        <w:t>Éléments Exemples</w:t>
      </w:r>
    </w:p>
    <w:p>
      <w:pPr>
        <w:pStyle w:val="Heading5"/>
      </w:pPr>
      <w:r>
        <w:t>Code et Titre de l'Action : DMD-04 - Intégrer la gouvernance de modélisation dans les routines organisationnelles et de domaine</w:t>
      </w:r>
    </w:p>
    <w:p>
      <w:pPr>
        <w:pStyle w:val="Heading5"/>
      </w:pPr>
      <w:r>
        <w:t>Objectif de l'Action : Intégrer des points de contrôle de modélisation structurés dans les flux de travail.</w:t>
      </w:r>
    </w:p>
    <w:p>
      <w:pPr>
        <w:pStyle w:val="Heading5"/>
      </w:pPr>
      <w:r>
        <w:t>Limites de Portée de l'Action : Applicable à tous les flux de travail liés aux données au sein de DMD.</w:t>
      </w:r>
    </w:p>
    <w:p>
      <w:pPr>
        <w:pStyle w:val="Heading4"/>
      </w:pPr>
      <w:r>
        <w:t>3.6.2.3 Définition de la Procédure</w:t>
      </w:r>
    </w:p>
    <w:p>
      <w:r>
        <w:rPr>
          <w:b/>
        </w:rPr>
        <w:t xml:space="preserve">Objectif: </w:t>
      </w:r>
      <w:r>
        <w:t>Détaillez les étapes procédurales nécessaires à la mise en œuvre.</w:t>
      </w:r>
    </w:p>
    <w:p>
      <w:r>
        <w:rPr>
          <w:b/>
        </w:rPr>
        <w:t xml:space="preserve">Contenu Attendu: </w:t>
      </w:r>
      <w:r>
        <w:t>Objectif, prérequis, livrables et structure d'exécution étape par étape.</w:t>
      </w:r>
    </w:p>
    <w:p>
      <w:pPr>
        <w:pStyle w:val="Heading5"/>
      </w:pPr>
      <w:r>
        <w:t>Éléments Exemples</w:t>
      </w:r>
    </w:p>
    <w:p>
      <w:pPr>
        <w:pStyle w:val="Heading5"/>
      </w:pPr>
      <w:r>
        <w:t>Objectif de la Procédure : Garantir la conformité avec la gouvernance de modélisation par le biais de points de contrôle structurés.</w:t>
      </w:r>
    </w:p>
    <w:p>
      <w:pPr>
        <w:pStyle w:val="Heading5"/>
      </w:pPr>
      <w:r>
        <w:t>Prérequis : Nécessite des rôles et des normes DMD-03.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Intégrez les points de contrôle de modélisation dans les flux de travail du domaine</w:t>
      </w:r>
    </w:p>
    <w:p>
      <w:pPr>
        <w:spacing w:before="120" w:after="120"/>
      </w:pPr>
      <w:r>
        <w:rPr>
          <w:b/>
        </w:rPr>
        <w:t xml:space="preserve">Prérequis: </w:t>
      </w:r>
      <w:r>
        <w:t>Nécessite des rôles et standards DMD-03</w:t>
      </w:r>
    </w:p>
    <w:p>
      <w:pPr>
        <w:spacing w:before="120" w:after="120"/>
      </w:pPr>
      <w:r>
        <w:rPr>
          <w:b/>
        </w:rPr>
        <w:t xml:space="preserve">Livrable: </w:t>
      </w:r>
      <w:r>
        <w:t>Modèles de workflow mis à jour</w:t>
      </w:r>
    </w:p>
    <w:p>
      <w:r>
        <w:rPr>
          <w:b/>
        </w:rPr>
        <w:t>Recommandations:</w:t>
      </w:r>
    </w:p>
    <w:p>
      <w:pPr>
        <w:pStyle w:val="ListBullet"/>
      </w:pPr>
      <w:r>
        <w:t>Intégrer les points de contrôle de modélisation en utilisant les directives DAMA pour intégrer les règles de modélisation dans les activités de création, transformation et validation des données (Chapitre 3.3, p. 58–59).</w:t>
      </w:r>
    </w:p>
    <w:p>
      <w:pPr>
        <w:pStyle w:val="ListBullet"/>
      </w:pPr>
      <w:r>
        <w:t>Assurez que les points de contrôle reflètent les attentes du cycle de vie DAMA pour la définition, l'approbation, la publication et la mise hors service (Chapitre 4.3, p. 92).</w:t>
      </w:r>
    </w:p>
    <w:p>
      <w:pPr>
        <w:pStyle w:val="ListBullet"/>
      </w:pPr>
      <w:r>
        <w:t>Validez que les points de contrôle intègrent les règles sémantiques et de métadonnées décrites par DAMA pour les fonctions de modélisation (Chapitre 10, p. 282–284).</w:t>
      </w:r>
    </w:p>
    <w:p>
      <w:pPr>
        <w:pStyle w:val="ListBullet"/>
      </w:pPr>
      <w:r>
        <w:t>Confirmez que les stewards assignés effectuent la supervision de modélisation conformément aux directives de stewardship DAMA (Chapitre 4, p. 86–89).</w:t>
      </w:r>
    </w:p>
    <w:p>
      <w:r>
        <w:rPr>
          <w:b/>
        </w:rPr>
        <w:t>Notes:</w:t>
      </w:r>
    </w:p>
    <w:p>
      <w:pPr>
        <w:pStyle w:val="ListBullet"/>
      </w:pPr>
      <w:r>
        <w:t>Utiliser les directives d'alignement des workflows DCAM pour assurer que les contrôles sémantiques sont appliqués de manière cohérente à travers les processus.</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de modélisation dans la conception des systèmes et les flux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Intégrez les critères en utilisant les attentes de modélisation et structurelles DAMA qui définissent l'alignement conceptuel et logique entre systèmes (Chapitre 10, p. 282).</w:t>
      </w:r>
    </w:p>
    <w:p>
      <w:pPr>
        <w:pStyle w:val="ListBullet"/>
      </w:pPr>
      <w:r>
        <w:t>S'assurer que les décisions d'intégration reflètent les règles de métadonnées de DAMA pour la nomination, la définition et la traçabilité (Chapitre 9, p. 236).</w:t>
      </w:r>
    </w:p>
    <w:p>
      <w:pPr>
        <w:pStyle w:val="ListBullet"/>
      </w:pPr>
      <w:r>
        <w:t>Validez l'alignement du cycle de vie suivant les points de contrôle de gestion DAMA tels que définition, approbation et publication (Chapitre 4.3, p. 92).</w:t>
      </w:r>
    </w:p>
    <w:p>
      <w:pPr>
        <w:pStyle w:val="ListBullet"/>
      </w:pPr>
      <w:r>
        <w:t>Confirmer que le sens métier est préservé selon les principes de cohérence sémantique DAMA (Chapitre 3.3, p. 58).</w:t>
      </w:r>
    </w:p>
    <w:p>
      <w:r>
        <w:rPr>
          <w:b/>
        </w:rPr>
        <w:t>Notes:</w:t>
      </w:r>
    </w:p>
    <w:p>
      <w:pPr>
        <w:pStyle w:val="ListBullet"/>
      </w:pPr>
      <w:r>
        <w:t>Appliquer les méthodes de vérification de conception CMMI pour renforcer la cohérence sémantique entre les composants du système.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de modélisation</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en utilisant les directives de cycle de vie DAMA pour la gouvernance de modélisation et de définition des données (Chapitre 4.3, p. 92).</w:t>
      </w:r>
    </w:p>
    <w:p>
      <w:pPr>
        <w:pStyle w:val="ListBullet"/>
      </w:pPr>
      <w:r>
        <w:t>Assurer l'alignement avec les structures de métadonnées et les règles sémantiques DAMA (Chapitre 10, p. 282–284).</w:t>
      </w:r>
    </w:p>
    <w:p>
      <w:pPr>
        <w:pStyle w:val="ListBullet"/>
      </w:pPr>
      <w:r>
        <w:t>Confirmer que les responsabilités de propriété et de gestion sont clairement exprimées selon les rôles de gouvernance DAMA (Chapitre 3.2, p. 55–57).</w:t>
      </w:r>
    </w:p>
    <w:p>
      <w:pPr>
        <w:pStyle w:val="ListBullet"/>
      </w:pPr>
      <w:r>
        <w:t>Valider les étapes du cycle de vie basées sur les exigences DAMA pour la création, la transformation et la mise hors service des structures de données (Chapitres 9 à 11).</w:t>
      </w:r>
    </w:p>
    <w:p>
      <w:r>
        <w:rPr>
          <w:b/>
        </w:rPr>
        <w:t>Notes:</w:t>
      </w:r>
    </w:p>
    <w:p>
      <w:pPr>
        <w:pStyle w:val="ListBullet"/>
      </w:pPr>
      <w:r>
        <w:t>Utiliser les critères de capacité du cycle de vie DCAM pour améliorer l'intégration de la modélisation à travers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Appliquez des contrôles de modélisation aux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Preuves des contrôles de modélisation</w:t>
      </w:r>
    </w:p>
    <w:p>
      <w:r>
        <w:rPr>
          <w:b/>
        </w:rPr>
        <w:t>Recommandations:</w:t>
      </w:r>
    </w:p>
    <w:p>
      <w:pPr>
        <w:pStyle w:val="ListBullet"/>
      </w:pPr>
      <w:r>
        <w:t>Appliquez les contrôles selon les attentes de modélisation et de gouvernance DAMA, qui requièrent la validation de la structure, des relations et du sens avant approbation (Chapitre 10, p. 282).</w:t>
      </w:r>
    </w:p>
    <w:p>
      <w:pPr>
        <w:pStyle w:val="ListBullet"/>
      </w:pPr>
      <w:r>
        <w:t>Valider selon les attentes de cohérence métadonnées et sémantique DAMA (Chapitre 9, p. 236).</w:t>
      </w:r>
    </w:p>
    <w:p>
      <w:pPr>
        <w:pStyle w:val="ListBullet"/>
      </w:pPr>
      <w:r>
        <w:t>Assurer que les points de décision appliquent la supervision de la gestion et l’escalade lorsque nécessaire, comme défini par DAMA (Chapitre 3.4, p. 60).</w:t>
      </w:r>
    </w:p>
    <w:p>
      <w:pPr>
        <w:pStyle w:val="ListBullet"/>
      </w:pPr>
      <w:r>
        <w:t>Confirmer que les contrôles du cycle de vie sont respectés suivant les points de contrôle de modélisation DAMA (Chapitre 4.3, p. 92).</w:t>
      </w:r>
    </w:p>
    <w:p>
      <w:r>
        <w:rPr>
          <w:b/>
        </w:rPr>
        <w:t>Notes:</w:t>
      </w:r>
    </w:p>
    <w:p>
      <w:pPr>
        <w:pStyle w:val="ListBullet"/>
      </w:pPr>
      <w:r>
        <w:t>Utiliser la logique de vérification CMMI pour améliorer la répétabilité de la validation des décisions de modélisation.</w:t>
      </w:r>
    </w:p>
    <w:p>
      <w:pPr>
        <w:spacing w:before="240"/>
      </w:pPr>
    </w:p>
    <w:p>
      <w:pPr>
        <w:spacing w:before="120" w:after="120"/>
      </w:pPr>
      <w:r>
        <w:rPr>
          <w:b/>
        </w:rPr>
        <w:t xml:space="preserve">Numéro de Procédure: </w:t>
      </w:r>
      <w:r>
        <w:t>5</w:t>
      </w:r>
    </w:p>
    <w:p>
      <w:pPr>
        <w:spacing w:before="120" w:after="120"/>
      </w:pPr>
      <w:r>
        <w:rPr>
          <w:b/>
        </w:rPr>
        <w:t xml:space="preserve">Nom: </w:t>
      </w:r>
      <w:r>
        <w:t>Suivre l'adhérence à la modélisation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de modélisation</w:t>
      </w:r>
    </w:p>
    <w:p>
      <w:r>
        <w:rPr>
          <w:b/>
        </w:rPr>
        <w:t>Recommandations:</w:t>
      </w:r>
    </w:p>
    <w:p>
      <w:pPr>
        <w:pStyle w:val="ListBullet"/>
      </w:pPr>
      <w:r>
        <w:t>Suivre l'adhérence en utilisant les directives DAMA pour la surveillance de la gouvernance à travers les processus de modélisation (Chapitre 3.6, p. 64).</w:t>
      </w:r>
    </w:p>
    <w:p>
      <w:pPr>
        <w:pStyle w:val="ListBullet"/>
      </w:pPr>
      <w:r>
        <w:t>Assurer que le suivi inclut les métadonnées et les contrôles d’alignement sémantique (Chapitre 10, p. 282–284).</w:t>
      </w:r>
    </w:p>
    <w:p>
      <w:pPr>
        <w:pStyle w:val="ListBullet"/>
      </w:pPr>
      <w:r>
        <w:t>Valider que les écarts sont enregistrés et escaladés conformément aux règles d'escalade de gouvernance DAMA (Chapitre 3.4, p. 60).</w:t>
      </w:r>
    </w:p>
    <w:p>
      <w:pPr>
        <w:pStyle w:val="ListBullet"/>
      </w:pPr>
      <w:r>
        <w:t>Confirmer l’implication des gestionnaires et propriétaires conforme aux obligations de gestion DAMA (Chapitre 4, p. 86–87).</w:t>
      </w:r>
    </w:p>
    <w:p>
      <w:r>
        <w:rPr>
          <w:b/>
        </w:rPr>
        <w:t>Notes:</w:t>
      </w:r>
    </w:p>
    <w:p>
      <w:pPr>
        <w:pStyle w:val="ListBullet"/>
      </w:pPr>
      <w:r>
        <w:t>Appliquer les indicateurs d'assurance de modélisation DCAM pour identifier les faiblesses de modélisation et les axes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Identifier les Processus de Flux de Travail</w:t>
      </w:r>
    </w:p>
    <w:p>
      <w:pPr>
        <w:pStyle w:val="ListBullet"/>
      </w:pPr>
      <w:r>
        <w:t>Définir les Points de Contrôle de Modélisation</w:t>
      </w:r>
    </w:p>
    <w:p>
      <w:pPr>
        <w:pStyle w:val="ListBullet"/>
      </w:pPr>
      <w:r>
        <w:t>Incorporer des Règles Sémantiques et de Métadonnées</w:t>
      </w:r>
    </w:p>
    <w:p>
      <w:pPr>
        <w:pStyle w:val="ListBullet"/>
      </w:pPr>
      <w:r>
        <w:t>Assigner des Stewards de Données</w:t>
      </w:r>
    </w:p>
    <w:p>
      <w:pPr>
        <w:pStyle w:val="ListBullet"/>
      </w:pPr>
      <w:r>
        <w:t>Développer des Modèles de Flux de Travail Mis à Jour</w:t>
      </w:r>
    </w:p>
    <w:p>
      <w:pPr>
        <w:pStyle w:val="ListBullet"/>
      </w:pPr>
      <w:r>
        <w:t>Réviser et Approuver les Modèles de Flux de Travail</w:t>
      </w:r>
    </w:p>
    <w:p>
      <w:pPr>
        <w:pStyle w:val="ListBullet"/>
      </w:pPr>
      <w:r>
        <w:t>Mettre en Œuvre et Surveiller les Flux de Travail</w:t>
      </w:r>
    </w:p>
    <w:p>
      <w:pPr>
        <w:pStyle w:val="ListBullet"/>
      </w:pPr>
      <w:r>
        <w:t>Réaliser des Révisions Régulières</w:t>
      </w:r>
    </w:p>
    <w:p>
      <w:pPr>
        <w:pStyle w:val="Heading4"/>
      </w:pPr>
      <w:r>
        <w:t>3.6.2.4 Composants Structurels de Gouvernance</w:t>
      </w:r>
    </w:p>
    <w:p>
      <w:r>
        <w:rPr>
          <w:b/>
        </w:rPr>
        <w:t xml:space="preserve">Objectif: </w:t>
      </w:r>
      <w:r>
        <w:t>Décrire le cadre de gouvernance soutenant la procédure.</w:t>
      </w:r>
    </w:p>
    <w:p>
      <w:r>
        <w:rPr>
          <w:b/>
        </w:rPr>
        <w:t xml:space="preserve">Contenu Attendu: </w:t>
      </w:r>
      <w:r>
        <w:t>Couverture, thèmes, structure organisationnelle, autorité décisionnelle, processus de gouvernance et exclusions.</w:t>
      </w:r>
    </w:p>
    <w:p>
      <w:pPr>
        <w:pStyle w:val="Heading5"/>
      </w:pPr>
      <w:r>
        <w:t>Éléments Exemples</w:t>
      </w:r>
    </w:p>
    <w:p>
      <w:pPr>
        <w:pStyle w:val="Heading5"/>
      </w:pPr>
      <w:r>
        <w:t>Couverture Organisationnelle : Tous les départements impliqués dans la gestion des données.</w:t>
      </w:r>
    </w:p>
    <w:p>
      <w:pPr>
        <w:pStyle w:val="Heading5"/>
      </w:pPr>
      <w:r>
        <w:t>Couverture des Actifs de Données : Tous les modèles de données et actifs connexes.</w:t>
      </w:r>
    </w:p>
    <w:p>
      <w:pPr>
        <w:pStyle w:val="Heading5"/>
      </w:pPr>
      <w:r>
        <w:t>Thèmes de Gouvernance : Qualité des données, conformité et stewardship.</w:t>
      </w:r>
    </w:p>
    <w:p>
      <w:pPr>
        <w:pStyle w:val="Heading5"/>
      </w:pPr>
      <w:r>
        <w:t>Structure Organisationnelle de Gouvernance : Conseil de Gouvernance des Données supervisant le Bureau de Gouvernance des Données.</w:t>
      </w:r>
    </w:p>
    <w:p>
      <w:pPr>
        <w:pStyle w:val="Heading5"/>
      </w:pPr>
      <w:r>
        <w:t>Modèle d'Autorité Décisionnelle : Propriétaires de Données responsables des décisions de domaine de données.</w:t>
      </w:r>
    </w:p>
    <w:p>
      <w:pPr>
        <w:pStyle w:val="Heading5"/>
      </w:pPr>
      <w:r>
        <w:t>Processus de Gouvernance</w:t>
      </w:r>
    </w:p>
    <w:p>
      <w:pPr>
        <w:pStyle w:val="ListBullet"/>
      </w:pPr>
      <w:r>
        <w:t>Établir des points de contrôle de modélisation</w:t>
      </w:r>
    </w:p>
    <w:p>
      <w:pPr>
        <w:pStyle w:val="ListBullet"/>
      </w:pPr>
      <w:r>
        <w:t>Surveiller la conformité aux normes de gouvernance</w:t>
      </w:r>
    </w:p>
    <w:p>
      <w:pPr>
        <w:pStyle w:val="ListBullet"/>
      </w:pPr>
      <w:r>
        <w:t>Réviser les attributions de stewards de données</w:t>
      </w:r>
    </w:p>
    <w:p>
      <w:pPr>
        <w:pStyle w:val="ListBullet"/>
      </w:pPr>
      <w:r>
        <w:t>Réaliser des audits de conformité des flux de travail</w:t>
      </w:r>
    </w:p>
    <w:p>
      <w:pPr>
        <w:pStyle w:val="Heading5"/>
      </w:pPr>
      <w:r>
        <w:t>Interfaces avec d'Autres Structures de Gouvernance : Coordination avec la gouvernance de la Qualité des Données et de la Sécurité des Données.</w:t>
      </w:r>
    </w:p>
    <w:p>
      <w:pPr>
        <w:pStyle w:val="Heading5"/>
      </w:pPr>
      <w:r>
        <w:t>Exclusions Explicites : Flux de travail non liés aux données.</w:t>
      </w:r>
    </w:p>
    <w:p>
      <w:pPr>
        <w:pStyle w:val="Heading4"/>
      </w:pPr>
      <w:r>
        <w:t>3.6.2.5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3.6.2.6 Preuves Requises</w:t>
      </w:r>
    </w:p>
    <w:p>
      <w:pPr>
        <w:pStyle w:val="ListBullet"/>
      </w:pPr>
      <w:r>
        <w:t>Document approuvé avec contrôle de version</w:t>
      </w:r>
    </w:p>
    <w:p>
      <w:pPr>
        <w:pStyle w:val="ListBullet"/>
      </w:pPr>
      <w:r>
        <w:t>Enregistrement d'approbation formel</w:t>
      </w:r>
    </w:p>
    <w:p>
      <w:pPr>
        <w:pStyle w:val="ListBullet"/>
      </w:pPr>
      <w:r>
        <w:t>Matrice RACI jointe</w:t>
      </w:r>
    </w:p>
    <w:p>
      <w:pPr>
        <w:pStyle w:val="ListBullet"/>
      </w:pPr>
      <w:r>
        <w:t>Enregistrement dans le dépôt ACR12____</w:t>
      </w:r>
    </w:p>
    <w:p>
      <w:pPr>
        <w:pStyle w:val="ListBullet"/>
      </w:pPr>
      <w:r>
        <w:t>Preuves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3.7 Éléments Communs au Document</w:t>
      </w:r>
    </w:p>
    <w:p>
      <w:pPr>
        <w:pStyle w:val="Heading3"/>
      </w:pPr>
      <w:r>
        <w:t>3.7.1 Gouvernance du Document</w:t>
      </w:r>
    </w:p>
    <w:p>
      <w:pPr>
        <w:spacing w:after="120"/>
      </w:pPr>
      <w:r>
        <w:t>Règles pour maintenir ce rapport contrôlé, auditable et durable dans le temps.</w:t>
      </w:r>
    </w:p>
    <w:p>
      <w:pPr>
        <w:pStyle w:val="Heading3"/>
      </w:pPr>
      <w:r>
        <w:t>3.7.2 Preuves Organisationnelles Minimales</w:t>
      </w:r>
    </w:p>
    <w:p>
      <w:pPr>
        <w:spacing w:after="120"/>
      </w:pPr>
      <w:r>
        <w:t>Preuves organisationnelles minimales nécessaires pour soutenir l’adoption et la vérification de la gouvernance.</w:t>
      </w:r>
    </w:p>
    <w:p>
      <w:pPr>
        <w:pStyle w:val="Heading3"/>
      </w:pPr>
      <w:r>
        <w:t>3.7.3 Critère d'Évolution pour le Prochain Cycle</w:t>
      </w:r>
    </w:p>
    <w:p>
      <w:pPr>
        <w:spacing w:after="120"/>
      </w:pPr>
      <w:r>
        <w:t>Critères utilisés pour valider la préparation à évoluer vers le prochain cycle et niveau de maturité.</w:t>
      </w:r>
    </w:p>
    <w:p>
      <w:r>
        <w:br w:type="page"/>
      </w:r>
    </w:p>
    <w:p>
      <w:pPr>
        <w:pStyle w:val="Heading1"/>
      </w:pPr>
      <w:r>
        <w:t>4. Références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