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Konsolidierter DOMMx Projektbericht</w:t>
      </w:r>
    </w:p>
    <w:p>
      <w:r>
        <w:rPr>
          <w:sz w:val="32"/>
        </w:rPr>
        <w:t>Datenbetriebsmodell und Reifegrad</w:t>
      </w:r>
    </w:p>
    <w:p/>
    <w:p>
      <w:r>
        <w:rPr>
          <w:b/>
        </w:rPr>
        <w:t xml:space="preserve">Projekt: </w:t>
      </w:r>
      <w:r>
        <w:t>teste 1</w:t>
      </w:r>
      <w:r>
        <w:t xml:space="preserve"> </w:t>
      </w:r>
      <w:r>
        <w:t>(ID: 986bfe9c-b2fa-46b7-b644-077b19e3aa1e)</w:t>
      </w:r>
    </w:p>
    <w:p>
      <w:r>
        <w:rPr>
          <w:b/>
        </w:rPr>
        <w:t xml:space="preserve">Umfang: </w:t>
      </w:r>
      <w:r>
        <w:t>Alle bewerteten Benutzer</w:t>
      </w:r>
    </w:p>
    <w:p>
      <w:r>
        <w:rPr>
          <w:b/>
        </w:rPr>
        <w:t xml:space="preserve">Einbezogene Benutzer: </w:t>
      </w:r>
      <w:r>
        <w:t>1</w:t>
      </w:r>
    </w:p>
    <w:p>
      <w:r>
        <w:rPr>
          <w:b/>
        </w:rPr>
        <w:t xml:space="preserve">Berichtssprache: </w:t>
      </w:r>
      <w:r>
        <w:t>de</w:t>
      </w:r>
    </w:p>
    <w:p>
      <w:r>
        <w:rPr>
          <w:b/>
        </w:rPr>
        <w:t xml:space="preserve">Erstellt (UTC): </w:t>
      </w:r>
      <w:r>
        <w:t>2026-03-03 13:00:34</w:t>
      </w:r>
    </w:p>
    <w:p/>
    <w:p>
      <w:pPr>
        <w:spacing w:after="120"/>
      </w:pPr>
      <w:r>
        <w:t>Dieser Bericht stellt die operative Anwendung des DOMMx durch eine strukturierte domänenbasierte Bewertung dar.</w:t>
        <w:br/>
        <w:br/>
        <w:t>Für jede bewertete Domäne beschreibt das Dokument den aktuellen Reifegrad und definiert die strukturierte Menge an Maßnahmen, die erforderlich sind, um den nächsten Reifegrad zu erreichen.</w:t>
        <w:br/>
        <w:br/>
        <w:t>Der Inhalt ist präskriptiv und auf die Erstellung und Stärkung von Data-Governance-Artefakten ausgerichtet. Er dient als technische Grundlage zur Dokumentation, Institutionalisierung und Weiterentwicklung von Governance-Praktiken entsprechend dem identifizierten Reifegrad.</w:t>
        <w:br/>
      </w:r>
    </w:p>
    <w:p>
      <w:r>
        <w:br w:type="page"/>
      </w:r>
    </w:p>
    <w:p>
      <w:r>
        <w:rPr>
          <w:b/>
          <w:sz w:val="36"/>
        </w:rPr>
        <w:t>How to Use This Report</w:t>
      </w:r>
    </w:p>
    <w:p/>
    <w:p>
      <w:pPr>
        <w:spacing w:after="120"/>
      </w:pPr>
      <w:r>
        <w:t>Dieser Bericht dient als technischer Leitfaden für die strukturierte Weiterentwicklung der Data Governance nach Domänen.</w:t>
        <w:br/>
        <w:br/>
        <w:t>Basierend auf dem im Assessment identifizierten Reifegrad aktiviert DOMMx präskriptive Maßnahmenpakete, die definieren, was aufgebaut, formalisiert oder gestärkt werden muss, um den nächsten Reifegrad zu erreichen.</w:t>
        <w:br/>
        <w:br/>
        <w:t>Die praktische Anwendung dieses Berichts umfasst:</w:t>
        <w:br/>
        <w:br/>
        <w:t>1. Formale Governance-Artefakte aufzubauen, wenn sie fehlen oder unzureichend sind</w:t>
        <w:br/>
        <w:t>2. Praktiken zu standardisieren und zu dokumentieren, wenn sie teilweise strukturiert sind</w:t>
        <w:br/>
        <w:t>3. Mechanismen zu integrieren und zu institutionalisieren, wenn sie bereits definiert sind</w:t>
        <w:br/>
        <w:t>4. Die Domäne auf eine messbare Steuerung in nachfolgenden Zyklen vorzubereiten</w:t>
        <w:br/>
        <w:br/>
        <w:t>Jeder Domänenabschnitt sollte in eine formale Dokumentation überführt werden, die an den spezifischen organisatorischen Kontext angepasst ist, wobei die vorgeschlagene Struktur beibehalten und der technische Inhalt entsprechend der bewerteten Domäne kontextualisiert wird.</w:t>
        <w:br/>
        <w:br/>
        <w:t>Dieser Bericht ist nicht lediglich beschreibend. Sein Zweck besteht darin, strukturierte Maßnahmen und Reifegradentwicklung zu fördern.</w:t>
        <w:br/>
      </w:r>
    </w:p>
    <w:p>
      <w:r>
        <w:br w:type="page"/>
      </w:r>
    </w:p>
    <w:p>
      <w:r>
        <w:rPr>
          <w:b/>
          <w:sz w:val="40"/>
        </w:rPr>
        <w:t>Inhaltsverzeichnis</w:t>
      </w:r>
    </w:p>
    <w:p/>
    <w:p>
      <w:r>
        <w:fldChar w:fldCharType="begin"/>
        <w:instrText xml:space="preserve">TOC \o "1-3" \h \z \u</w:instrText>
        <w:fldChar w:fldCharType="separate"/>
        <w:fldChar w:fldCharType="end"/>
      </w:r>
    </w:p>
    <w:p/>
    <w:p>
      <w:r>
        <w:br w:type="page"/>
      </w:r>
    </w:p>
    <w:p>
      <w:pPr>
        <w:pStyle w:val="Heading1"/>
      </w:pPr>
      <w:r>
        <w:t>1. Bewertungsergebnisse</w:t>
      </w:r>
    </w:p>
    <w:p>
      <w:pPr>
        <w:spacing w:after="120"/>
      </w:pPr>
      <w:r>
        <w:t>Das Blueprint und die vorgeschriebenen Leitlinien in diesem Bericht folgen strikt der bewerteten Domänenstruktur und den im aktuellen Zyklus ermittelten Reifegraden.</w:t>
        <w:br/>
      </w:r>
    </w:p>
    <w:p>
      <w:pPr>
        <w:spacing w:after="120"/>
      </w:pPr>
      <w:r>
        <w:t>Dieser Abschnitt zeigt die Reifegrade pro Domäne einschließlich Durchschnittswerten. Der finale Reifegrad wird als floor(AVG) berechnet.</w:t>
        <w:br/>
      </w:r>
    </w:p>
    <w:p/>
    <w:p>
      <w:pPr>
        <w:pStyle w:val="Heading2"/>
      </w:pPr>
      <w:r>
        <w:t>1.1 Domänenübersicht</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Domäne</w:t>
            </w:r>
          </w:p>
        </w:tc>
        <w:tc>
          <w:tcPr>
            <w:tcW w:type="dxa" w:w="1728"/>
          </w:tcPr>
          <w:p>
            <w:r>
              <w:t>Domänenname</w:t>
            </w:r>
          </w:p>
        </w:tc>
        <w:tc>
          <w:tcPr>
            <w:tcW w:type="dxa" w:w="1728"/>
          </w:tcPr>
          <w:p>
            <w:r>
              <w:t>AVG</w:t>
            </w:r>
          </w:p>
        </w:tc>
        <w:tc>
          <w:tcPr>
            <w:tcW w:type="dxa" w:w="1728"/>
          </w:tcPr>
          <w:p>
            <w:r>
              <w:t>Finaler Reifegrad (floor)</w:t>
            </w:r>
          </w:p>
        </w:tc>
        <w:tc>
          <w:tcPr>
            <w:tcW w:type="dxa" w:w="1728"/>
          </w:tcPr>
          <w:p>
            <w:r>
              <w:t>Reifegrad</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Definiert</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Definiert</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Definiert</w:t>
            </w:r>
          </w:p>
        </w:tc>
      </w:tr>
    </w:tbl>
    <w:p/>
    <w:p>
      <w:pPr>
        <w:pStyle w:val="Heading2"/>
      </w:pPr>
      <w:r>
        <w:t>1.2 DG · Data Governance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r>
        <w:tc>
          <w:tcPr>
            <w:tcW w:type="dxa" w:w="2160"/>
          </w:tcPr>
          <w:p>
            <w:r>
              <w:t>Q2</w:t>
            </w:r>
          </w:p>
        </w:tc>
        <w:tc>
          <w:tcPr>
            <w:tcW w:type="dxa" w:w="2160"/>
          </w:tcPr>
          <w:p>
            <w:r>
              <w:t>4.00</w:t>
            </w:r>
          </w:p>
        </w:tc>
        <w:tc>
          <w:tcPr>
            <w:tcW w:type="dxa" w:w="2160"/>
          </w:tcPr>
          <w:p>
            <w:r>
              <w:t>Gesteuert</w:t>
            </w:r>
          </w:p>
        </w:tc>
        <w:tc>
          <w:tcPr>
            <w:tcW w:type="dxa" w:w="2160"/>
          </w:tcPr>
          <w:p>
            <w:r/>
          </w:p>
        </w:tc>
      </w:tr>
    </w:tbl>
    <w:p>
      <w:pPr>
        <w:spacing w:after="120"/>
      </w:pPr>
      <w:r>
        <w:t>Berechnungsregel: AVG = Mittelwert der Bewertungen. Final = floor(AVG).</w:t>
      </w:r>
    </w:p>
    <w:p/>
    <w:p>
      <w:pPr>
        <w:pStyle w:val="Heading2"/>
      </w:pPr>
      <w:r>
        <w:t>1.3 DA · Data Architecture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5.00</w:t>
            </w:r>
          </w:p>
        </w:tc>
        <w:tc>
          <w:tcPr>
            <w:tcW w:type="dxa" w:w="2160"/>
          </w:tcPr>
          <w:p>
            <w:r>
              <w:t>Optimiert</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Berechnungsregel: AVG = Mittelwert der Bewertungen. Final = floor(AVG).</w:t>
      </w:r>
    </w:p>
    <w:p/>
    <w:p>
      <w:r>
        <w:rPr>
          <w:b/>
        </w:rPr>
        <w:t xml:space="preserve">⚠ Reifegradstreuung in diesem Bereich festgestellt. </w:t>
      </w:r>
      <w:r>
        <w:t>Erhebliche Unterschiede zwischen den Bewertungen deuten auf strukturelle Inkonsistenzen oder ungleichmäßige Implementierung hin.</w:t>
      </w:r>
    </w:p>
    <w:p/>
    <w:p>
      <w:pPr>
        <w:pStyle w:val="Heading2"/>
      </w:pPr>
      <w:r>
        <w:t>1.4 DMD · Data Modelling and Design</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bl>
    <w:p>
      <w:pPr>
        <w:spacing w:after="120"/>
      </w:pPr>
      <w:r>
        <w:t>Berechnungsregel: AVG = Mittelwert der Bewertungen. Final = floor(AVG).</w:t>
      </w:r>
    </w:p>
    <w:p>
      <w:pPr>
        <w:pStyle w:val="Heading1"/>
      </w:pPr>
      <w:r>
        <w:t>2. Strukturelle Abhängigkeiten und Inkonsistenzen</w:t>
      </w:r>
    </w:p>
    <w:p>
      <w:pPr>
        <w:spacing w:after="120"/>
      </w:pPr>
      <w:r>
        <w:t>Dieser Abschnitt dokumentiert strukturelle Abhängigkeiten zwischen Domänen und identifiziert erkannte Inkonsistenzen.</w:t>
        <w:br/>
      </w:r>
    </w:p>
    <w:p>
      <w:pPr>
        <w:pStyle w:val="Heading2"/>
      </w:pPr>
      <w:r>
        <w:t>2.1 Deklarierte Abhängigkeiten (Projektfluss)</w:t>
      </w:r>
    </w:p>
    <w:p>
      <w:pPr>
        <w:pStyle w:val="Heading3"/>
      </w:pPr>
      <w:r>
        <w:t>DG · Data Governance</w:t>
      </w:r>
    </w:p>
    <w:p>
      <w:pPr>
        <w:spacing w:after="120"/>
      </w:pPr>
      <w:r>
        <w:t>Keine Abhängigkeiten deklariert.</w:t>
      </w:r>
    </w:p>
    <w:p>
      <w:pPr>
        <w:pStyle w:val="Heading3"/>
      </w:pPr>
      <w:r>
        <w:t>DA · Data Architecture</w:t>
      </w:r>
    </w:p>
    <w:p>
      <w:pPr>
        <w:spacing w:after="120"/>
      </w:pPr>
      <w:r>
        <w:t>Deklarierte Abhängigkeiten:</w:t>
      </w:r>
    </w:p>
    <w:p>
      <w:pPr>
        <w:pStyle w:val="ListBullet"/>
      </w:pPr>
      <w:r>
        <w:t>- DG · Data Governance (grade 3 · Definiert)</w:t>
      </w:r>
    </w:p>
    <w:p>
      <w:pPr>
        <w:pStyle w:val="Heading3"/>
      </w:pPr>
      <w:r>
        <w:t>DMD · Data Modelling and Design</w:t>
      </w:r>
    </w:p>
    <w:p>
      <w:pPr>
        <w:spacing w:after="120"/>
      </w:pPr>
      <w:r>
        <w:t>Deklarierte Abhängigkeiten:</w:t>
      </w:r>
    </w:p>
    <w:p>
      <w:pPr>
        <w:pStyle w:val="ListBullet"/>
      </w:pPr>
      <w:r>
        <w:t>- DG · Data Governance (grade 3 · Definiert)</w:t>
      </w:r>
    </w:p>
    <w:p>
      <w:pPr>
        <w:pStyle w:val="ListBullet"/>
      </w:pPr>
      <w:r>
        <w:t>- DA · Data Architecture (grade 3 · Definiert)</w:t>
      </w:r>
    </w:p>
    <w:p>
      <w:pPr>
        <w:pStyle w:val="Heading2"/>
      </w:pPr>
      <w:r>
        <w:t>2.2 Erkannte Abhängigkeitsbrüche und Handlungsempfehlungen</w:t>
      </w:r>
    </w:p>
    <w:p>
      <w:pPr>
        <w:spacing w:after="120"/>
      </w:pPr>
      <w:r>
        <w:t>Keine Inkonsistenzdatensätze gefunden.</w:t>
      </w:r>
    </w:p>
    <w:p>
      <w:pPr>
        <w:pStyle w:val="Heading1"/>
      </w:pPr>
      <w:r>
        <w:t>3. Domänen-Blueprint und Vorgeschriebene Verfahren</w:t>
      </w:r>
    </w:p>
    <w:p>
      <w:pPr>
        <w:spacing w:after="120"/>
      </w:pPr>
      <w:r>
        <w:t>Dieser Abschnitt stellt das preskriptive Blueprint zur Weiterentwicklung bereit. Für jede Domäne wird ein ausgelöster Aktionscode identifiziert.</w:t>
        <w:br/>
      </w:r>
    </w:p>
    <w:p>
      <w:pPr>
        <w:pStyle w:val="Heading2"/>
      </w:pPr>
      <w:r>
        <w:t>3.1 Bewertungsergebnis und Strategische Ausrichtung</w:t>
      </w:r>
    </w:p>
    <w:p>
      <w:pPr>
        <w:spacing w:after="120"/>
      </w:pPr>
      <w:r>
        <w:t>Das Blueprint spiegelt ausschließlich die bewerteten Domänen dieses Zyklus wider.</w:t>
        <w:br/>
      </w:r>
    </w:p>
    <w:p>
      <w:pPr>
        <w:spacing w:after="120"/>
      </w:pPr>
      <w:r>
        <w:t>Management-Zusammenfassung:</w:t>
      </w:r>
    </w:p>
    <w:p>
      <w:pPr>
        <w:pStyle w:val="ListBullet"/>
      </w:pPr>
      <w:r>
        <w:t>DG = 3.50 → Stufe 3 (Definiert)</w:t>
      </w:r>
    </w:p>
    <w:p>
      <w:pPr>
        <w:pStyle w:val="ListBullet"/>
      </w:pPr>
      <w:r>
        <w:t>DA = 3.00 → Stufe 3 (Definiert)</w:t>
      </w:r>
    </w:p>
    <w:p>
      <w:pPr>
        <w:pStyle w:val="ListBullet"/>
      </w:pPr>
      <w:r>
        <w:t>DMD = 3.00 → Stufe 3 (Definiert)</w:t>
      </w:r>
    </w:p>
    <w:p>
      <w:pPr>
        <w:pStyle w:val="Heading2"/>
      </w:pPr>
      <w:r>
        <w:t>3.2 Gemeinsame Elemente aller Domänen</w:t>
      </w:r>
    </w:p>
    <w:p>
      <w:pPr>
        <w:spacing w:after="120"/>
      </w:pPr>
      <w:r>
        <w:t>Dieser Abschnitt definiert strukturelle Elemente, die für alle Domänen gelten und organisatorische Konsistenz gewährleisten.</w:t>
        <w:br/>
      </w:r>
    </w:p>
    <w:p>
      <w:pPr>
        <w:pStyle w:val="Heading3"/>
      </w:pPr>
      <w:r>
        <w:t>3.2.1 Standardstruktur des Governance-Artefakts</w:t>
      </w:r>
    </w:p>
    <w:p>
      <w:pPr>
        <w:spacing w:after="120"/>
      </w:pPr>
      <w:r>
        <w:t>Jedes Governance-Artefakt muss einer standardisierten Struktur folgen, um Konsistenz und Nachvollziehbarkeit sicherzustellen.</w:t>
        <w:br/>
      </w:r>
    </w:p>
    <w:p>
      <w:pPr>
        <w:pStyle w:val="Heading4"/>
      </w:pPr>
      <w:r>
        <w:t>3.2.1.1 Dokumentenkontrolle</w:t>
      </w:r>
    </w:p>
    <w:p>
      <w:r>
        <w:rPr>
          <w:b/>
        </w:rPr>
        <w:t xml:space="preserve">Zweck: </w:t>
      </w:r>
      <w:r>
        <w:t>Die formale Identifizierung und Versionierung des Dokuments festzulegen.</w:t>
      </w:r>
    </w:p>
    <w:p>
      <w:r>
        <w:rPr>
          <w:b/>
        </w:rPr>
        <w:t xml:space="preserve">Erwarteter Inhalt: </w:t>
      </w:r>
      <w:r>
        <w:t>Titel, Versionsnummer, Status, Genehmigungsbehörde und Änderungsverlauf.</w:t>
      </w:r>
    </w:p>
    <w:p>
      <w:pPr>
        <w:pStyle w:val="Heading4"/>
      </w:pPr>
      <w:r>
        <w:t>Beispielhafte Elemente</w:t>
      </w:r>
    </w:p>
    <w:p>
      <w:pPr>
        <w:pStyle w:val="Heading4"/>
      </w:pPr>
      <w:r>
        <w:t>Dokumenttitel: Leitfaden zur Implementierung von Governance-Standards</w:t>
      </w:r>
    </w:p>
    <w:p>
      <w:pPr>
        <w:pStyle w:val="Heading4"/>
      </w:pPr>
      <w:r>
        <w:t>Version und Status: Version 1.0 - Entwurf</w:t>
      </w:r>
    </w:p>
    <w:p>
      <w:pPr>
        <w:pStyle w:val="Heading4"/>
      </w:pPr>
      <w:r>
        <w:t>Genehmigungsbehörde: Data Governance Council</w:t>
      </w:r>
    </w:p>
    <w:p>
      <w:pPr>
        <w:pStyle w:val="Heading4"/>
      </w:pPr>
      <w:r>
        <w:t>Änderungsverlauf: Datum, Beschreibung der Änderungen, Autor.</w:t>
      </w:r>
    </w:p>
    <w:p>
      <w:pPr>
        <w:pStyle w:val="Heading4"/>
      </w:pPr>
      <w:r>
        <w:t>3.2.1.2 Exekutive Zusammenfassung</w:t>
      </w:r>
    </w:p>
    <w:p>
      <w:r>
        <w:rPr>
          <w:b/>
        </w:rPr>
        <w:t xml:space="preserve">Zweck: </w:t>
      </w:r>
      <w:r>
        <w:t>Einen Überblick über die Absicht und Bedeutung des Dokuments zu geben.</w:t>
      </w:r>
    </w:p>
    <w:p>
      <w:r>
        <w:rPr>
          <w:b/>
        </w:rPr>
        <w:t xml:space="preserve">Erwarteter Inhalt: </w:t>
      </w:r>
      <w:r>
        <w:t>Zusammenfassung des Implementierungsprozesses der Governance-Standards und seiner Bedeutung für die Organisation.</w:t>
      </w:r>
    </w:p>
    <w:p>
      <w:r>
        <w:rPr>
          <w:b/>
        </w:rPr>
        <w:t xml:space="preserve">Beispielhafte Elemente: </w:t>
      </w:r>
      <w:r>
        <w:t>Überblick über die Integration von Governance in Routinen, Abstimmung mit DMBOK2 und DCAM.</w:t>
      </w:r>
    </w:p>
    <w:p>
      <w:pPr>
        <w:pStyle w:val="Heading4"/>
      </w:pPr>
      <w:r>
        <w:t>3.2.1.3 Anhänge</w:t>
      </w:r>
    </w:p>
    <w:p>
      <w:r>
        <w:rPr>
          <w:b/>
        </w:rPr>
        <w:t xml:space="preserve">Zweck: </w:t>
      </w:r>
      <w:r>
        <w:t>Ergänzende Materialien bereitzustellen, die das Hauptdokument unterstützen.</w:t>
      </w:r>
    </w:p>
    <w:p>
      <w:r>
        <w:rPr>
          <w:b/>
        </w:rPr>
        <w:t xml:space="preserve">Erwarteter Inhalt: </w:t>
      </w:r>
      <w:r>
        <w:t>Vorlagen, Referenzstandards und unterstützende Artefakte.</w:t>
      </w:r>
    </w:p>
    <w:p>
      <w:pPr>
        <w:pStyle w:val="Heading4"/>
      </w:pPr>
      <w:r>
        <w:t>Beispielhafte Elemente</w:t>
      </w:r>
    </w:p>
    <w:p>
      <w:pPr>
        <w:pStyle w:val="Heading4"/>
      </w:pPr>
      <w:r>
        <w:t>Vorlagen: Vorlage für das Protokoll zur Implementierung von Governance-Standards.</w:t>
      </w:r>
    </w:p>
    <w:p>
      <w:pPr>
        <w:pStyle w:val="Heading4"/>
      </w:pPr>
      <w:r>
        <w:t>Referenzstandards: Links zu DAMA-DMBOK und DCAM Ressourcen.</w:t>
      </w:r>
    </w:p>
    <w:p>
      <w:pPr>
        <w:pStyle w:val="Heading4"/>
      </w:pPr>
      <w:r>
        <w:t>Unterstützende Artefakte: Beispiele für Governance-Richtlinien und -verfahren.</w:t>
      </w:r>
    </w:p>
    <w:p>
      <w:pPr>
        <w:pStyle w:val="Heading3"/>
      </w:pPr>
      <w:r>
        <w:t>3.2.2 Transversale Strukturelemente</w:t>
      </w:r>
    </w:p>
    <w:p>
      <w:pPr>
        <w:spacing w:after="120"/>
      </w:pPr>
      <w:r>
        <w:t>Diese übergreifenden Strukturelemente gewährleisten organisatorische Ausrichtung und integrierte Kontrolle.</w:t>
        <w:br/>
      </w:r>
    </w:p>
    <w:p>
      <w:pPr>
        <w:pStyle w:val="Heading4"/>
      </w:pPr>
      <w:r>
        <w:t>3.2.2.1 Rahmenbedingungen für den Bereich und Kontext</w:t>
      </w:r>
    </w:p>
    <w:p>
      <w:r>
        <w:rPr>
          <w:b/>
        </w:rPr>
        <w:t xml:space="preserve">Zweck: </w:t>
      </w:r>
      <w:r>
        <w:t>Den spezifischen Bereich zu definieren und die Governance-Maßnahme zu kontextualisieren.</w:t>
      </w:r>
    </w:p>
    <w:p>
      <w:r>
        <w:rPr>
          <w:b/>
        </w:rPr>
        <w:t xml:space="preserve">Erwarteter Inhalt: </w:t>
      </w:r>
      <w:r>
        <w:t>Definition des Bereichs, organisatorischer Kontext und Reifegradpositionierung basierend auf dem Reifegrad-Score.</w:t>
      </w:r>
    </w:p>
    <w:p>
      <w:pPr>
        <w:pStyle w:val="Heading4"/>
      </w:pPr>
      <w:r>
        <w:t>Beispielhafte Elemente</w:t>
      </w:r>
    </w:p>
    <w:p>
      <w:pPr>
        <w:pStyle w:val="Heading4"/>
      </w:pPr>
      <w:r>
        <w:t>Bereichsdefinition: Data Governance</w:t>
      </w:r>
    </w:p>
    <w:p>
      <w:pPr>
        <w:pStyle w:val="Heading4"/>
      </w:pPr>
      <w:r>
        <w:t>Organisatorischer Kontext: Überblick über die Datenmanagementlandschaft der Organisation.</w:t>
      </w:r>
    </w:p>
    <w:p>
      <w:pPr>
        <w:pStyle w:val="Heading4"/>
      </w:pPr>
      <w:r>
        <w:t>Reifegradpositionierung: Score 3 - Verwaltet.</w:t>
      </w:r>
    </w:p>
    <w:p>
      <w:pPr>
        <w:pStyle w:val="Heading4"/>
      </w:pPr>
      <w:r>
        <w:t>3.2.2.2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4"/>
      </w:pPr>
      <w:r>
        <w:t>Beispielhafte Elemente</w:t>
      </w:r>
    </w:p>
    <w:p>
      <w:pPr>
        <w:pStyle w:val="Heading4"/>
      </w:pPr>
      <w:r>
        <w:t>Aktionscode und Titel: DG-04 - Integration von Governance in organisatorische und bereichsspezifische Routinen</w:t>
      </w:r>
    </w:p>
    <w:p>
      <w:pPr>
        <w:pStyle w:val="Heading4"/>
      </w:pPr>
      <w:r>
        <w:t>Aktionsziel: Die Governance-Standards systematisch in die täglichen Abläufe zu integrieren.</w:t>
      </w:r>
    </w:p>
    <w:p>
      <w:pPr>
        <w:pStyle w:val="Heading4"/>
      </w:pPr>
      <w:r>
        <w:t>Umfangsgrenzen der Maßnahme: Anwendbar auf alle Datenbereiche innerhalb der Organisation.</w:t>
      </w:r>
    </w:p>
    <w:p>
      <w:pPr>
        <w:pStyle w:val="Heading4"/>
      </w:pPr>
      <w:r>
        <w:t>3.2.2.3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4"/>
      </w:pPr>
      <w:r>
        <w:t>Beispielhafte Elemente</w:t>
      </w:r>
    </w:p>
    <w:p>
      <w:pPr>
        <w:pStyle w:val="Heading4"/>
      </w:pPr>
      <w:r>
        <w:t>Verfahrensziel: Die Governance-Standards in allen Bereichen zu implementieren.</w:t>
      </w:r>
    </w:p>
    <w:p>
      <w:pPr>
        <w:pStyle w:val="Heading4"/>
      </w:pPr>
      <w:r>
        <w:t>Voraussetzungen: Genehmigte Governance-Standards erforderlich.</w:t>
      </w:r>
    </w:p>
    <w:p>
      <w:pPr>
        <w:pStyle w:val="Heading4"/>
      </w:pPr>
      <w:r>
        <w:t>Ergebnisse: Protokoll zur Implementierung der Governance-Standards.</w:t>
      </w:r>
    </w:p>
    <w:p>
      <w:pPr>
        <w:pStyle w:val="Heading4"/>
      </w:pPr>
      <w:r>
        <w:t>Schritt-für-Schritt-Ausführungsstruktur</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3.2.2.4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4"/>
      </w:pPr>
      <w:r>
        <w:t>Beispielhafte Elemente</w:t>
      </w:r>
    </w:p>
    <w:p>
      <w:pPr>
        <w:pStyle w:val="Heading4"/>
      </w:pPr>
      <w:r>
        <w:t>Organisatorische Abdeckung: Alle Datenbereiche innerhalb der Organisation.</w:t>
      </w:r>
    </w:p>
    <w:p>
      <w:pPr>
        <w:pStyle w:val="Heading4"/>
      </w:pPr>
      <w:r>
        <w:t>Abdeckung der Datenbestände: Alle kritischen Datenbestände, die im Governance-Rahmenwerk identifiziert wurden.</w:t>
      </w:r>
    </w:p>
    <w:p>
      <w:pPr>
        <w:pStyle w:val="Heading4"/>
      </w:pPr>
      <w:r>
        <w:t>Governance-Themen: Datenqualität, Datensicherheit, Datenschutz.</w:t>
      </w:r>
    </w:p>
    <w:p>
      <w:pPr>
        <w:pStyle w:val="Heading4"/>
      </w:pPr>
      <w:r>
        <w:t>Governance-Organisationsstruktur: Data Governance Council, Data Governance Office, Datenverantwortliche, Datenverwalter.</w:t>
      </w:r>
    </w:p>
    <w:p>
      <w:pPr>
        <w:pStyle w:val="Heading4"/>
      </w:pPr>
      <w:r>
        <w:t>Entscheidungsbefugnis-Modell: Definierte Rollen und Verantwortlichkeiten für die Entscheidungsfindung.</w:t>
      </w:r>
    </w:p>
    <w:p>
      <w:pPr>
        <w:pStyle w:val="Heading4"/>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Schnittstellen zu anderen Governance-Strukturen: Interaktion mit anderen Governance-Rahmenwerken innerhalb der Organisation.</w:t>
      </w:r>
    </w:p>
    <w:p>
      <w:pPr>
        <w:pStyle w:val="Heading4"/>
      </w:pPr>
      <w:r>
        <w:t>Explizite Ausschlüsse: Bereiche, die nicht von diesem Governance-Rahmenwerk abgedeckt sind.</w:t>
      </w:r>
    </w:p>
    <w:p>
      <w:pPr>
        <w:pStyle w:val="Heading4"/>
      </w:pPr>
      <w:r>
        <w:t>3.2.2.5 Kontroll- und Überwachungsmechanismen</w:t>
      </w:r>
    </w:p>
    <w:p>
      <w:r>
        <w:rPr>
          <w:b/>
        </w:rPr>
        <w:t xml:space="preserve">Zweck: </w:t>
      </w:r>
      <w:r>
        <w:t>Die formalen Kontroll- und Überwachungsmechanismen zu definieren, die für diese Maßnahme gelten.</w:t>
      </w:r>
    </w:p>
    <w:p>
      <w:pPr>
        <w:pStyle w:val="Heading4"/>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4"/>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4"/>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3.2.2.6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4"/>
      </w:pPr>
      <w:r>
        <w:t>Beispielhafte Elemente</w:t>
      </w:r>
    </w:p>
    <w:p>
      <w:pPr>
        <w:pStyle w:val="Heading4"/>
      </w:pPr>
      <w:r>
        <w:t>Lebenszyklusmanagement: Verfahren für Dokumentenaktualisierungen und -änderungen.</w:t>
      </w:r>
    </w:p>
    <w:p>
      <w:pPr>
        <w:pStyle w:val="Heading4"/>
      </w:pPr>
      <w:r>
        <w:t>Überprüfungszyklus: Häufigkeit der Dokumentenüberprüfungen (z. B. jährlich).</w:t>
      </w:r>
    </w:p>
    <w:p>
      <w:pPr>
        <w:pStyle w:val="Heading4"/>
      </w:pPr>
      <w:r>
        <w:t>Eigentum des Dokuments: Benennung des Data Governance Office als Dokumenteneigentümer.</w:t>
      </w:r>
    </w:p>
    <w:p>
      <w:pPr>
        <w:pStyle w:val="Heading4"/>
      </w:pPr>
      <w:r>
        <w:t>3.2.2.7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3.3 Konsolidierte Definition des Reifegradmodells</w:t>
      </w:r>
    </w:p>
    <w:p>
      <w:pPr>
        <w:pStyle w:val="Heading3"/>
      </w:pPr>
      <w:r>
        <w:t>Stufe 0 – Nicht existent</w:t>
      </w:r>
    </w:p>
    <w:p>
      <w:pPr>
        <w:spacing w:after="120"/>
      </w:pPr>
      <w:r>
        <w:t>Keine Governance-Praktiken und keine definierten Verantwortlichkeiten oder Prozesse.</w:t>
      </w:r>
    </w:p>
    <w:p>
      <w:pPr>
        <w:spacing w:after="120"/>
      </w:pPr>
      <w:r>
        <w:t>Zeigt ein vollständiges Fehlen von Struktur und einen unmittelbaren Bedarf an grundlegenden Maßnahmen an.</w:t>
      </w:r>
    </w:p>
    <w:p>
      <w:pPr>
        <w:pStyle w:val="Heading3"/>
      </w:pPr>
      <w:r>
        <w:t>Stufe 1 – Initial</w:t>
      </w:r>
    </w:p>
    <w:p>
      <w:pPr>
        <w:spacing w:after="120"/>
      </w:pPr>
      <w:r>
        <w:t>Aktivitäten erfolgen informell und reaktiv mit wenig oder keiner Dokumentation.</w:t>
      </w:r>
    </w:p>
    <w:p>
      <w:pPr>
        <w:spacing w:after="120"/>
      </w:pPr>
      <w:r>
        <w:t>Spiegelt Bewusstsein wider, aber auch hohe Variabilität und operationelles Risiko.</w:t>
      </w:r>
    </w:p>
    <w:p>
      <w:pPr>
        <w:pStyle w:val="Heading3"/>
      </w:pPr>
      <w:r>
        <w:t>Stufe 2 – Im Entstehen</w:t>
      </w:r>
    </w:p>
    <w:p>
      <w:pPr>
        <w:spacing w:after="120"/>
      </w:pPr>
      <w:r>
        <w:t>Einige Praktiken existieren, sind jedoch inkonsistent, undokumentiert oder werden nicht teamübergreifend angewendet.</w:t>
      </w:r>
    </w:p>
    <w:p>
      <w:pPr>
        <w:spacing w:after="120"/>
      </w:pPr>
      <w:r>
        <w:t>Zeigt frühe Entwicklung. Standardisierung und Dokumentation sind notwendig, um Fortschritte zu erzielen.</w:t>
      </w:r>
    </w:p>
    <w:p>
      <w:pPr>
        <w:pStyle w:val="Heading3"/>
      </w:pPr>
      <w:r>
        <w:t>Stufe 3 – Etabliert</w:t>
      </w:r>
    </w:p>
    <w:p>
      <w:pPr>
        <w:spacing w:after="120"/>
      </w:pPr>
      <w:r>
        <w:t>Prozesse, Rollen und Richtlinien sind definiert, dokumentiert und stabil angewendet.</w:t>
      </w:r>
    </w:p>
    <w:p>
      <w:pPr>
        <w:spacing w:after="120"/>
      </w:pPr>
      <w:r>
        <w:t>Demonstriert operationale Konsistenz und Bereitschaft für strukturiertere Verbesserungen.</w:t>
      </w:r>
    </w:p>
    <w:p>
      <w:pPr>
        <w:pStyle w:val="Heading3"/>
      </w:pPr>
      <w:r>
        <w:t>Stufe 4 – Verwaltet</w:t>
      </w:r>
    </w:p>
    <w:p>
      <w:pPr>
        <w:spacing w:after="120"/>
      </w:pPr>
      <w:r>
        <w:t>Governance ist in Arbeitsabläufe integriert und wird durch Tools, Überwachung und Aufsicht unterstützt.</w:t>
      </w:r>
    </w:p>
    <w:p>
      <w:pPr>
        <w:spacing w:after="120"/>
      </w:pPr>
      <w:r>
        <w:t>Repräsentiert reife Einführung mit zuverlässiger Ausführung über Teams hinweg.</w:t>
      </w:r>
    </w:p>
    <w:p>
      <w:pPr>
        <w:pStyle w:val="Heading3"/>
      </w:pPr>
      <w:r>
        <w:t>Stufe 5 – Optimiert</w:t>
      </w:r>
    </w:p>
    <w:p>
      <w:pPr>
        <w:spacing w:after="120"/>
      </w:pPr>
      <w:r>
        <w:t>Governance ist vollständig eingebettet, wird kontinuierlich verbessert und entspricht Compliance- und ethischen Erwartungen.</w:t>
      </w:r>
    </w:p>
    <w:p>
      <w:pPr>
        <w:spacing w:after="120"/>
      </w:pPr>
      <w:r>
        <w:t>Repräsentiert fortgeschrittene Reife mit proaktiver Governance, Optimierung und institutionalisierter kontinuierlicher Verbesserung.</w:t>
      </w:r>
    </w:p>
    <w:p>
      <w:pPr>
        <w:pStyle w:val="Heading2"/>
      </w:pPr>
      <w:r>
        <w:t>3.4 DG · Data Governance</w:t>
      </w:r>
    </w:p>
    <w:p>
      <w:pPr>
        <w:pStyle w:val="Heading3"/>
      </w:pPr>
      <w:r>
        <w:t>3.4.1 Kontextualisierung des Bewerteten Domänenbereichs</w:t>
      </w:r>
    </w:p>
    <w:p>
      <w:r>
        <w:rPr>
          <w:b/>
        </w:rPr>
        <w:t xml:space="preserve">Beschreibung: </w:t>
      </w:r>
      <w:r>
        <w:t>Fragen in diesem Bereich bewerten das Vorhandensein, die Formalisierung und die konsistente Ausführung zentraler Governance-Mechanismen, einschließlich Richtlinien, Prinzipien, Stewardship-Strukturen, Verantwortlichkeitsrollen und Aufsichtsgremien. Sie bewerten, wie Verantwortlichkeiten definiert, Entscheidungen getroffen und Governance in organisatorische Routinen eingebettet werden. Diese Elemente spiegeln die strukturellen, prozeduralen und relationalen Mechanismen wider, die in der Literatur als Grundlage für effektive Governance hervorgehoben werden (Abraham et al., 2019). Darüber hinaus bilden sie die Grundlage für die Fähigkeitsentwicklung in allen verbleibenden Bereichen.</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Überblick über die Datenmanagementlandschaft der Organisation.</w:t>
      </w:r>
    </w:p>
    <w:p>
      <w:pPr>
        <w:spacing w:after="120"/>
      </w:pPr>
      <w:r>
        <w:t>Ausgelöster Aktionscode: DG-04</w:t>
      </w:r>
    </w:p>
    <w:p>
      <w:pPr>
        <w:pStyle w:val="Heading3"/>
      </w:pPr>
      <w:r>
        <w:t>3.4.2 Vorgeschriebenes Verfahrenspaket</w:t>
      </w:r>
    </w:p>
    <w:p>
      <w:pPr>
        <w:spacing w:after="120"/>
      </w:pPr>
      <w:r>
        <w:t>Das preskriptive Maßnahmenpaket konsolidiert domänenspezifische Schritte zur Weiterentwicklung des Reifegrades.</w:t>
        <w:br/>
      </w:r>
    </w:p>
    <w:p>
      <w:pPr>
        <w:pStyle w:val="Heading4"/>
      </w:pPr>
      <w:r>
        <w:t>3.4.2.1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5"/>
      </w:pPr>
      <w:r>
        <w:t>Beispielhafte Elemente</w:t>
      </w:r>
    </w:p>
    <w:p>
      <w:pPr>
        <w:pStyle w:val="Heading5"/>
      </w:pPr>
      <w:r>
        <w:t>Aktionscode und Titel: DG-04 - Integration von Governance in organisatorische und bereichsspezifische Routinen</w:t>
      </w:r>
    </w:p>
    <w:p>
      <w:pPr>
        <w:pStyle w:val="Heading5"/>
      </w:pPr>
      <w:r>
        <w:t>Aktionsziel: Die Governance-Standards systematisch in die täglichen Abläufe zu integrieren.</w:t>
      </w:r>
    </w:p>
    <w:p>
      <w:pPr>
        <w:pStyle w:val="Heading5"/>
      </w:pPr>
      <w:r>
        <w:t>Umfangsgrenzen der Maßnahme: Anwendbar auf alle Datenbereiche innerhalb der Organisation.</w:t>
      </w:r>
    </w:p>
    <w:p>
      <w:pPr>
        <w:pStyle w:val="Heading4"/>
      </w:pPr>
      <w:r>
        <w:t>3.4.2.2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5"/>
      </w:pPr>
      <w:r>
        <w:t>Beispielhafte Elemente</w:t>
      </w:r>
    </w:p>
    <w:p>
      <w:pPr>
        <w:pStyle w:val="Heading5"/>
      </w:pPr>
      <w:r>
        <w:t>Verfahrensziel: Die Governance-Standards in allen Bereichen zu implementieren.</w:t>
      </w:r>
    </w:p>
    <w:p>
      <w:pPr>
        <w:pStyle w:val="Heading5"/>
      </w:pPr>
      <w:r>
        <w:t>Voraussetzungen: Genehmigte Governance-Standards erforderlich.</w:t>
      </w:r>
    </w:p>
    <w:p>
      <w:pPr>
        <w:pStyle w:val="Heading5"/>
      </w:pPr>
      <w:r>
        <w:t>Ergebnisse: Protokoll zur Implementierung der Governance-Standards.</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Implementieren Sie Governance-Standards domänenübergreifend</w:t>
      </w:r>
    </w:p>
    <w:p>
      <w:pPr>
        <w:spacing w:before="120" w:after="120"/>
      </w:pPr>
      <w:r>
        <w:rPr>
          <w:b/>
        </w:rPr>
        <w:t xml:space="preserve">Voraussetzung: </w:t>
      </w:r>
      <w:r>
        <w:t>Genehmigte Standards erforderlich</w:t>
      </w:r>
    </w:p>
    <w:p>
      <w:pPr>
        <w:spacing w:before="120" w:after="120"/>
      </w:pPr>
      <w:r>
        <w:rPr>
          <w:b/>
        </w:rPr>
        <w:t xml:space="preserve">Ergebnis: </w:t>
      </w:r>
      <w:r>
        <w:t>Protokoll zur Umsetzung von Governance-Standards</w:t>
      </w:r>
    </w:p>
    <w:p>
      <w:r>
        <w:rPr>
          <w:b/>
        </w:rPr>
        <w:t>Empfehlungen:</w:t>
      </w:r>
    </w:p>
    <w:p>
      <w:pPr>
        <w:pStyle w:val="ListBullet"/>
      </w:pPr>
      <w:r>
        <w:t>Implementieren Sie Standards gemäß DAMA-Anleitung, wie Governance-Regeln in operative und analytische Prozesse integriert werden sollen, wie in DMBOK2 beschrieben (Kapitel 3.5, S. 62).</w:t>
      </w:r>
    </w:p>
    <w:p>
      <w:pPr>
        <w:pStyle w:val="ListBullet"/>
      </w:pPr>
      <w:r>
        <w:t>Sicherstellen, dass Integration mit DAMA Beschreibung von domänenübergreifender Koordination und Governance-Aktivitäten übereinstimmt (Kapitel 3.3, S. 58–59).</w:t>
      </w:r>
    </w:p>
    <w:p>
      <w:pPr>
        <w:pStyle w:val="ListBullet"/>
      </w:pPr>
      <w:r>
        <w:t>Validierung, dass jede Domäne Standards konsistent gemäß den Stewardship-Verantwortlichkeiten und Aufsichtserwartungen von DAMA übernimmt (Kapitel 4, S. 86–89).</w:t>
      </w:r>
    </w:p>
    <w:p>
      <w:pPr>
        <w:pStyle w:val="ListBullet"/>
      </w:pPr>
      <w:r>
        <w:t>Bestätigen Sie, dass die Implementierung DAMA Lifecycle-Checkpoints für kontrollierte Datendefinition, Nutzung und Ausmusterung widerspiegelt (Kapitel 4.3, S. 92).</w:t>
      </w:r>
    </w:p>
    <w:p>
      <w:r>
        <w:rPr>
          <w:b/>
        </w:rPr>
        <w:t>Hinweise:</w:t>
      </w:r>
    </w:p>
    <w:p>
      <w:pPr>
        <w:pStyle w:val="ListBullet"/>
      </w:pPr>
      <w:r>
        <w:t>Wenden Sie DCAM Domänenfähigkeitsausrichtung an, um sicherzustellen, dass Standards einheitlich eingebettet und umsetzbar bleiben.</w:t>
      </w:r>
    </w:p>
    <w:p>
      <w:pPr>
        <w:spacing w:before="240"/>
      </w:pPr>
    </w:p>
    <w:p>
      <w:pPr>
        <w:spacing w:before="120" w:after="120"/>
      </w:pPr>
      <w:r>
        <w:rPr>
          <w:b/>
        </w:rPr>
        <w:t xml:space="preserve">Prozedurnummer: </w:t>
      </w:r>
      <w:r>
        <w:t>2</w:t>
      </w:r>
    </w:p>
    <w:p>
      <w:pPr>
        <w:spacing w:before="120" w:after="120"/>
      </w:pPr>
      <w:r>
        <w:rPr>
          <w:b/>
        </w:rPr>
        <w:t xml:space="preserve">Name: </w:t>
      </w:r>
      <w:r>
        <w:t>Integrieren Sie Governance-Regeln in operative Arbeitsabläufe</w:t>
      </w:r>
    </w:p>
    <w:p>
      <w:pPr>
        <w:spacing w:before="120" w:after="120"/>
      </w:pPr>
      <w:r>
        <w:rPr>
          <w:b/>
        </w:rPr>
        <w:t xml:space="preserve">Voraussetzung: </w:t>
      </w:r>
      <w:r>
        <w:t>Erfordert operative Workflow-Abbildung</w:t>
      </w:r>
    </w:p>
    <w:p>
      <w:pPr>
        <w:spacing w:before="120" w:after="120"/>
      </w:pPr>
      <w:r>
        <w:rPr>
          <w:b/>
        </w:rPr>
        <w:t xml:space="preserve">Ergebnis: </w:t>
      </w:r>
      <w:r>
        <w:t>Governance-Workflow-Integrationsprotokoll</w:t>
      </w:r>
    </w:p>
    <w:p>
      <w:r>
        <w:rPr>
          <w:b/>
        </w:rPr>
        <w:t>Empfehlungen:</w:t>
      </w:r>
    </w:p>
    <w:p>
      <w:pPr>
        <w:pStyle w:val="ListBullet"/>
      </w:pPr>
      <w:r>
        <w:t>Regeln unter Verwendung der DAMA Anleitung zur Einbettung von Governance-Kontrollen in Datenprozesse integrieren, einschließlich Validierungs-, Genehmigungs- und Rückverfolgbarkeitsschritten (Kapitel 3.3, S. 58).</w:t>
      </w:r>
    </w:p>
    <w:p>
      <w:pPr>
        <w:pStyle w:val="ListBullet"/>
      </w:pPr>
      <w:r>
        <w:t>Stellen Sie sicher, dass Workflow-Schritte den Erwartungen von DAMA an Autorität, Stewardship-Interaktion und Eskalation entsprechen (Kapitel 3.4, S. 60).</w:t>
      </w:r>
    </w:p>
    <w:p>
      <w:pPr>
        <w:pStyle w:val="ListBullet"/>
      </w:pPr>
      <w:r>
        <w:t>Validieren Sie die Einhaltung der DAMA Stewardship-Verantwortlichkeiten, die definieren, wer in jeder Workflow-Phase eingreifen muss (Kapitel 4, S. 86–87).</w:t>
      </w:r>
    </w:p>
    <w:p>
      <w:pPr>
        <w:pStyle w:val="ListBullet"/>
      </w:pPr>
      <w:r>
        <w:t>Bestätigen Sie, dass die Workflow-Integration die von DAMA beschriebenen Metadaten-, Herkunfts- und Qualitätskomponenten abdeckt (Kapitel 9 bis 1).</w:t>
      </w:r>
    </w:p>
    <w:p>
      <w:r>
        <w:rPr>
          <w:b/>
        </w:rPr>
        <w:t>Hinweise:</w:t>
      </w:r>
    </w:p>
    <w:p>
      <w:pPr>
        <w:pStyle w:val="ListBullet"/>
      </w:pPr>
      <w:r>
        <w:t>Verwenden Sie CMMI Institutionalisierungslogik, um die Übernahme von Governance-Regeln als stabile, wiederholbare Routinen zu stärken.</w:t>
      </w:r>
    </w:p>
    <w:p>
      <w:pPr>
        <w:spacing w:before="240"/>
      </w:pPr>
    </w:p>
    <w:p>
      <w:pPr>
        <w:spacing w:before="120" w:after="120"/>
      </w:pPr>
      <w:r>
        <w:rPr>
          <w:b/>
        </w:rPr>
        <w:t xml:space="preserve">Prozedurnummer: </w:t>
      </w:r>
      <w:r>
        <w:t>3</w:t>
      </w:r>
    </w:p>
    <w:p>
      <w:pPr>
        <w:spacing w:before="120" w:after="120"/>
      </w:pPr>
      <w:r>
        <w:rPr>
          <w:b/>
        </w:rPr>
        <w:t xml:space="preserve">Name: </w:t>
      </w:r>
      <w:r>
        <w:t>Governance-Verantwortlichkeiten in Rollenbeschreibungen verankern</w:t>
      </w:r>
    </w:p>
    <w:p>
      <w:pPr>
        <w:spacing w:before="120" w:after="120"/>
      </w:pPr>
      <w:r>
        <w:rPr>
          <w:b/>
        </w:rPr>
        <w:t xml:space="preserve">Voraussetzung: </w:t>
      </w:r>
      <w:r>
        <w:t>Erfordert genehmigte Governance-Rollen</w:t>
      </w:r>
    </w:p>
    <w:p>
      <w:pPr>
        <w:spacing w:before="120" w:after="120"/>
      </w:pPr>
      <w:r>
        <w:rPr>
          <w:b/>
        </w:rPr>
        <w:t xml:space="preserve">Ergebnis: </w:t>
      </w:r>
      <w:r>
        <w:t>Aktualisierte Rollenbeschreibungen</w:t>
      </w:r>
    </w:p>
    <w:p>
      <w:r>
        <w:rPr>
          <w:b/>
        </w:rPr>
        <w:t>Empfehlungen:</w:t>
      </w:r>
    </w:p>
    <w:p>
      <w:pPr>
        <w:pStyle w:val="ListBullet"/>
      </w:pPr>
      <w:r>
        <w:t>Aktualisieren Sie Rollenbeschreibungen gemäß DAMA’s Rollenmodell, das Verantwortlichkeiten für Eigentümer, Stewards und Custodians definiert (Kapitel 3.2, S. 55–57).</w:t>
      </w:r>
    </w:p>
    <w:p>
      <w:pPr>
        <w:pStyle w:val="ListBullet"/>
      </w:pPr>
      <w:r>
        <w:t>Stellen Sie sicher, dass Beschreibungen Autoritätsgrenzen und Governance-Entscheidungstypen enthalten, die von DAMA definiert sind (Kapitel 3, S. 51).</w:t>
      </w:r>
    </w:p>
    <w:p>
      <w:pPr>
        <w:pStyle w:val="ListBullet"/>
      </w:pPr>
      <w:r>
        <w:t>Richten Sie Aufgaben gemäß den DAMA Stewardship-Lifecycle-Kontrollpunkten aus, einschließlich Erstellung, Genehmigung, Veröffentlichung und Stilllegung (Kapitel 4.3, S. 92).</w:t>
      </w:r>
    </w:p>
    <w:p>
      <w:pPr>
        <w:pStyle w:val="ListBullet"/>
      </w:pPr>
      <w:r>
        <w:t>Validieren Sie, dass Verantwortlichkeiten Governance-Kommunikationsprinzipien und Stakeholder-Erwartungen gemäß DAMA unterstützen (Kapitel 3.6, S. 64).</w:t>
      </w:r>
    </w:p>
    <w:p>
      <w:r>
        <w:rPr>
          <w:b/>
        </w:rPr>
        <w:t>Hinweise:</w:t>
      </w:r>
    </w:p>
    <w:p>
      <w:pPr>
        <w:pStyle w:val="ListBullet"/>
      </w:pPr>
      <w:r>
        <w:t>Verwenden Sie IDGC Verhaltensausrichtungsleitlinien, um die Einhaltung und kulturelle Akzeptanz von Governance-Verantwortlichkeiten zu fördern.</w:t>
      </w:r>
    </w:p>
    <w:p>
      <w:pPr>
        <w:spacing w:before="240"/>
      </w:pPr>
    </w:p>
    <w:p>
      <w:pPr>
        <w:spacing w:before="120" w:after="120"/>
      </w:pPr>
      <w:r>
        <w:rPr>
          <w:b/>
        </w:rPr>
        <w:t xml:space="preserve">Prozedurnummer: </w:t>
      </w:r>
      <w:r>
        <w:t>4</w:t>
      </w:r>
    </w:p>
    <w:p>
      <w:pPr>
        <w:spacing w:before="120" w:after="120"/>
      </w:pPr>
      <w:r>
        <w:rPr>
          <w:b/>
        </w:rPr>
        <w:t xml:space="preserve">Name: </w:t>
      </w:r>
      <w:r>
        <w:t>Governance-Checkpoints in den Datenlebenszyklus integrieren</w:t>
      </w:r>
    </w:p>
    <w:p>
      <w:pPr>
        <w:spacing w:before="120" w:after="120"/>
      </w:pPr>
      <w:r>
        <w:rPr>
          <w:b/>
        </w:rPr>
        <w:t xml:space="preserve">Voraussetzung: </w:t>
      </w:r>
      <w:r>
        <w:t>Erfordert Datenlebenszyklus-Mapping</w:t>
      </w:r>
    </w:p>
    <w:p>
      <w:pPr>
        <w:spacing w:before="120" w:after="120"/>
      </w:pPr>
      <w:r>
        <w:rPr>
          <w:b/>
        </w:rPr>
        <w:t xml:space="preserve">Ergebnis: </w:t>
      </w:r>
      <w:r>
        <w:t>Governance-Lifecycle-Checkpoint-Matrix</w:t>
      </w:r>
    </w:p>
    <w:p>
      <w:r>
        <w:rPr>
          <w:b/>
        </w:rPr>
        <w:t>Empfehlungen:</w:t>
      </w:r>
    </w:p>
    <w:p>
      <w:pPr>
        <w:pStyle w:val="ListBullet"/>
      </w:pPr>
      <w:r>
        <w:t>Checkpoints gemäß der DAMA Lifecycle-Struktur integrieren, die Qualitäts-, Metadaten- und Governance-Kontrollpunkte definiert (Kapitel 4.3, S. 92).</w:t>
      </w:r>
    </w:p>
    <w:p>
      <w:pPr>
        <w:pStyle w:val="ListBullet"/>
      </w:pPr>
      <w:r>
        <w:t>Stellen Sie die Übereinstimmung mit DAMA Definitionen für kontrollierte Erstellung, Validierung, Nutzung und Ausmusterung sicher, die in den Datenmanagement-Kapiteln dargestellt sind (Kapitel 9, 10, 11).</w:t>
      </w:r>
    </w:p>
    <w:p>
      <w:pPr>
        <w:pStyle w:val="ListBullet"/>
      </w:pPr>
      <w:r>
        <w:t>Bestätigen, dass Checkpoint-Verantwortliche mit DAMA Governance-Autoritäts- und Eskalationsrichtlinien abgestimmt sind (Kapitel 3.4, S. 60).</w:t>
      </w:r>
    </w:p>
    <w:p>
      <w:pPr>
        <w:pStyle w:val="ListBullet"/>
      </w:pPr>
      <w:r>
        <w:t>Validieren Sie, dass Lifecycle-Checkpoints strategische, taktische und operative Verantwortlichkeiten umfassen, die in DAMA funktionaler Governance-Architektur beschrieben sind (Abbildung 3-2, S. 53).</w:t>
      </w:r>
    </w:p>
    <w:p>
      <w:r>
        <w:rPr>
          <w:b/>
        </w:rPr>
        <w:t>Hinweise:</w:t>
      </w:r>
    </w:p>
    <w:p>
      <w:pPr>
        <w:pStyle w:val="ListBullet"/>
      </w:pPr>
      <w:r>
        <w:t>Verwenden Sie DCAM Lebenszyklus-Fähigkeitskriterien, um die Abdeckung der Lebenszyklus-Governance zu stärken und sicherzustellen, dass Checkpoints effektiv überwacht werden können.</w:t>
      </w:r>
    </w:p>
    <w:p>
      <w:pPr>
        <w:spacing w:before="240"/>
      </w:pPr>
    </w:p>
    <w:p>
      <w:pPr>
        <w:spacing w:before="120" w:after="120"/>
      </w:pPr>
      <w:r>
        <w:rPr>
          <w:b/>
        </w:rPr>
        <w:t xml:space="preserve">Prozedurnummer: </w:t>
      </w:r>
      <w:r>
        <w:t>5</w:t>
      </w:r>
    </w:p>
    <w:p>
      <w:pPr>
        <w:spacing w:before="120" w:after="120"/>
      </w:pPr>
      <w:r>
        <w:rPr>
          <w:b/>
        </w:rPr>
        <w:t xml:space="preserve">Name: </w:t>
      </w:r>
      <w:r>
        <w:t>Wenden Sie Governance-Kontrollen auf Domain-Operationen an</w:t>
      </w:r>
    </w:p>
    <w:p>
      <w:pPr>
        <w:spacing w:before="120" w:after="120"/>
      </w:pPr>
      <w:r>
        <w:rPr>
          <w:b/>
        </w:rPr>
        <w:t xml:space="preserve">Voraussetzung: </w:t>
      </w:r>
      <w:r>
        <w:t>Erfordert definierte Stewardship- und Eigentumsstrukturen</w:t>
      </w:r>
    </w:p>
    <w:p>
      <w:pPr>
        <w:spacing w:before="120" w:after="120"/>
      </w:pPr>
      <w:r>
        <w:rPr>
          <w:b/>
        </w:rPr>
        <w:t xml:space="preserve">Ergebnis: </w:t>
      </w:r>
      <w:r>
        <w:t>Domain-Governance-Kontrollprotokoll</w:t>
      </w:r>
    </w:p>
    <w:p>
      <w:r>
        <w:rPr>
          <w:b/>
        </w:rPr>
        <w:t>Empfehlungen:</w:t>
      </w:r>
    </w:p>
    <w:p>
      <w:pPr>
        <w:pStyle w:val="ListBullet"/>
      </w:pPr>
      <w:r>
        <w:t>Wenden Sie Kontrollen unter Verwendung der DAMA Definitionen für Governance-Aufsicht an, einschließlich Überwachung, Genehmigung und Korrekturmaßnahmen (Kapitel 3.3, S. 58–59).</w:t>
      </w:r>
    </w:p>
    <w:p>
      <w:pPr>
        <w:pStyle w:val="ListBullet"/>
      </w:pPr>
      <w:r>
        <w:t>Stellen Sie sicher, dass Kontrollen mit DAMA Prinzipien für Entscheidungstransparenz und Qualitätssicherung übereinstimmen (Kapitel 3.4, S. 60).</w:t>
      </w:r>
    </w:p>
    <w:p>
      <w:pPr>
        <w:pStyle w:val="ListBullet"/>
      </w:pPr>
      <w:r>
        <w:t>Bestätigen Sie, dass Domänen-Stewards Kontrollen gemäß den DAMA Verantwortlichkeiten für Datendefinition, Zugriffsaufsicht und Lifecycle-Management anwenden (Kapitel 4, S. 86–89).</w:t>
      </w:r>
    </w:p>
    <w:p>
      <w:pPr>
        <w:pStyle w:val="ListBullet"/>
      </w:pPr>
      <w:r>
        <w:t>Validieren, dass die Ausführung von Kontrollen DAMA Qualitäts- und Metadatenregeln einbezieht, die in relevanten Datenmanagement-Kapiteln beschrieben sind (Kapitel 9, 10, 11).</w:t>
      </w:r>
    </w:p>
    <w:p>
      <w:r>
        <w:rPr>
          <w:b/>
        </w:rPr>
        <w:t>Hinweise:</w:t>
      </w:r>
    </w:p>
    <w:p>
      <w:pPr>
        <w:pStyle w:val="ListBullet"/>
      </w:pPr>
      <w:r>
        <w:t>Anwenden von CMMI Überwachungspraktiken, um sicherzustellen, dass Governance-Kontrollen kontinuierlich bewertet und verbessert werden.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3.4.2.3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5"/>
      </w:pPr>
      <w:r>
        <w:t>Beispielhafte Elemente</w:t>
      </w:r>
    </w:p>
    <w:p>
      <w:pPr>
        <w:pStyle w:val="Heading5"/>
      </w:pPr>
      <w:r>
        <w:t>Organisatorische Abdeckung: Alle Datenbereiche innerhalb der Organisation.</w:t>
      </w:r>
    </w:p>
    <w:p>
      <w:pPr>
        <w:pStyle w:val="Heading5"/>
      </w:pPr>
      <w:r>
        <w:t>Abdeckung der Datenbestände: Alle kritischen Datenbestände, die im Governance-Rahmenwerk identifiziert wurden.</w:t>
      </w:r>
    </w:p>
    <w:p>
      <w:pPr>
        <w:pStyle w:val="Heading5"/>
      </w:pPr>
      <w:r>
        <w:t>Governance-Themen: Datenqualität, Datensicherheit, Datenschutz.</w:t>
      </w:r>
    </w:p>
    <w:p>
      <w:pPr>
        <w:pStyle w:val="Heading5"/>
      </w:pPr>
      <w:r>
        <w:t>Governance-Organisationsstruktur: Data Governance Council, Data Governance Office, Datenverantwortliche, Datenverwalter.</w:t>
      </w:r>
    </w:p>
    <w:p>
      <w:pPr>
        <w:pStyle w:val="Heading5"/>
      </w:pPr>
      <w:r>
        <w:t>Entscheidungsbefugnis-Modell: Definierte Rollen und Verantwortlichkeiten für die Entscheidungsfindung.</w:t>
      </w:r>
    </w:p>
    <w:p>
      <w:pPr>
        <w:pStyle w:val="Heading5"/>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5"/>
      </w:pPr>
      <w:r>
        <w:t>Schnittstellen zu anderen Governance-Strukturen: Interaktion mit anderen Governance-Rahmenwerken innerhalb der Organisation.</w:t>
      </w:r>
    </w:p>
    <w:p>
      <w:pPr>
        <w:pStyle w:val="Heading5"/>
      </w:pPr>
      <w:r>
        <w:t>Explizite Ausschlüsse: Bereiche, die nicht von diesem Governance-Rahmenwerk abgedeckt sind.</w:t>
      </w:r>
    </w:p>
    <w:p>
      <w:pPr>
        <w:pStyle w:val="Heading4"/>
      </w:pPr>
      <w:r>
        <w:t>3.4.2.4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3.4.2.5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5"/>
      </w:pPr>
      <w:r>
        <w:t>Beispielhafte Elemente</w:t>
      </w:r>
    </w:p>
    <w:p>
      <w:pPr>
        <w:pStyle w:val="Heading5"/>
      </w:pPr>
      <w:r>
        <w:t>Lebenszyklusmanagement: Verfahren für Dokumentenaktualisierungen und -änderungen.</w:t>
      </w:r>
    </w:p>
    <w:p>
      <w:pPr>
        <w:pStyle w:val="Heading5"/>
      </w:pPr>
      <w:r>
        <w:t>Überprüfungszyklus: Häufigkeit der Dokumentenüberprüfungen (z. B. jährlich).</w:t>
      </w:r>
    </w:p>
    <w:p>
      <w:pPr>
        <w:pStyle w:val="Heading5"/>
      </w:pPr>
      <w:r>
        <w:t>Eigentum des Dokuments: Benennung des Data Governance Office als Dokumenteneigentümer.</w:t>
      </w:r>
    </w:p>
    <w:p>
      <w:pPr>
        <w:pStyle w:val="Heading4"/>
      </w:pPr>
      <w:r>
        <w:t>3.4.2.6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3.5 DA · Data Architecture</w:t>
      </w:r>
    </w:p>
    <w:p>
      <w:pPr>
        <w:pStyle w:val="Heading3"/>
      </w:pPr>
      <w:r>
        <w:t>3.5.1 Kontextualisierung des Bewerteten Domänenbereichs</w:t>
      </w:r>
    </w:p>
    <w:p>
      <w:r>
        <w:rPr>
          <w:b/>
        </w:rPr>
        <w:t xml:space="preserve">Beschreibung: </w:t>
      </w:r>
      <w:r>
        <w:t>Elemente in dieser Domäne bewerten architektonische Prinzipien, das Vorhandensein einer Referenzdatenarchitektur, die Integration von Geschäfts- und Datenperspektiven sowie die Ausrichtung struktureller Definitionen an Organisationsstrategien. Diese Elemente sind grundlegende Mechanismen, die skalierbare, nachhaltige Governance ermöglichen. Forschung zeigt konsistent, dass Datenarchitektur als Kernstruktur-Schicht fungiert, die Interoperabilität, Konsistenz, Lebenszyklus-Governance und kontrollierte Entwicklung von Datenbeständen im gesamten Unternehmen unterstützt (Legner et al., 2020)</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Dieses Verfahren gilt für alle Datenarbeitsabläufe innerhalb der Organisation.</w:t>
      </w:r>
    </w:p>
    <w:p>
      <w:pPr>
        <w:spacing w:after="120"/>
      </w:pPr>
      <w:r>
        <w:t>Ausgelöster Aktionscode: DA-04</w:t>
      </w:r>
    </w:p>
    <w:p>
      <w:pPr>
        <w:pStyle w:val="Heading3"/>
      </w:pPr>
      <w:r>
        <w:t>3.5.2 Vorgeschriebenes Verfahrenspaket</w:t>
      </w:r>
    </w:p>
    <w:p>
      <w:pPr>
        <w:spacing w:after="120"/>
      </w:pPr>
      <w:r>
        <w:t>Das preskriptive Maßnahmenpaket konsolidiert domänenspezifische Schritte zur Weiterentwicklung des Reifegrades.</w:t>
        <w:br/>
      </w:r>
    </w:p>
    <w:p>
      <w:pPr>
        <w:pStyle w:val="Heading4"/>
      </w:pPr>
      <w:r>
        <w:t>3.5.2.1 Maßnahmenbeschreibung</w:t>
      </w:r>
    </w:p>
    <w:p>
      <w:r>
        <w:rPr>
          <w:b/>
        </w:rPr>
        <w:t xml:space="preserve">Zweck: </w:t>
      </w:r>
      <w:r>
        <w:t>Die durchgeführte Maßnahme klar zu artikulieren, einschließlich ihrer Ziele und ihres Umfangs.</w:t>
      </w:r>
    </w:p>
    <w:p>
      <w:r>
        <w:rPr>
          <w:b/>
        </w:rPr>
        <w:t xml:space="preserve">Erwarteter Inhalt: </w:t>
      </w:r>
      <w:r>
        <w:t>Aktionscode, Titel, Ziele und Umfangsgrenzen.</w:t>
      </w:r>
    </w:p>
    <w:p>
      <w:pPr>
        <w:pStyle w:val="Heading5"/>
      </w:pPr>
      <w:r>
        <w:t>Beispielhafte Elemente</w:t>
      </w:r>
    </w:p>
    <w:p>
      <w:pPr>
        <w:pStyle w:val="Heading5"/>
      </w:pPr>
      <w:r>
        <w:t>Aktionscode und Titel: DA-04 - Architektur-Governance in Arbeitsabläufe integrieren</w:t>
      </w:r>
    </w:p>
    <w:p>
      <w:pPr>
        <w:pStyle w:val="Heading5"/>
      </w:pPr>
      <w:r>
        <w:t>Aktionsziel: Architektur-Governance-Prüfpunkte in bestehende Arbeitsabläufe zu integrieren.</w:t>
      </w:r>
    </w:p>
    <w:p>
      <w:pPr>
        <w:pStyle w:val="Heading5"/>
      </w:pPr>
      <w:r>
        <w:t>Umfangsgrenzen der Maßnahme: Diese Maßnahme gilt für alle Arbeitsabläufe, die die Erstellung, Transformation und Veröffentlichung von Daten betreffen.</w:t>
      </w:r>
    </w:p>
    <w:p>
      <w:pPr>
        <w:pStyle w:val="Heading4"/>
      </w:pPr>
      <w:r>
        <w:t>3.5.2.2 Verfahrensbeschreibung</w:t>
      </w:r>
    </w:p>
    <w:p>
      <w:r>
        <w:rPr>
          <w:b/>
        </w:rPr>
        <w:t xml:space="preserve">Zweck: </w:t>
      </w:r>
      <w:r>
        <w:t>Die schrittweisen Ausführungsstrukturen für die Maßnahme, einschließlich Voraussetzungen und Ergebnisse, im Detail darzulegen.</w:t>
      </w:r>
    </w:p>
    <w:p>
      <w:r>
        <w:rPr>
          <w:b/>
        </w:rPr>
        <w:t xml:space="preserve">Erwarteter Inhalt: </w:t>
      </w:r>
      <w:r>
        <w:t>Verfahrensziel, Voraussetzungen, Ergebnisse und eine strukturierte Ausführungsrahmen.</w:t>
      </w:r>
    </w:p>
    <w:p>
      <w:pPr>
        <w:pStyle w:val="Heading5"/>
      </w:pPr>
      <w:r>
        <w:t>Beispielhafte Elemente</w:t>
      </w:r>
    </w:p>
    <w:p>
      <w:pPr>
        <w:pStyle w:val="Heading5"/>
      </w:pPr>
      <w:r>
        <w:t>Verfahrensziel: Sicherzustellen, dass die Architektur-Governance durch definierte Prüfpunkte in Arbeitsabläufe integriert wird.</w:t>
      </w:r>
    </w:p>
    <w:p>
      <w:pPr>
        <w:pStyle w:val="Heading5"/>
      </w:pPr>
      <w:r>
        <w:t>Voraussetzungen: Erfordert DA-03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Architektur-Kontrollpunkte in Domänen-Workflows</w:t>
      </w:r>
    </w:p>
    <w:p>
      <w:pPr>
        <w:spacing w:before="120" w:after="120"/>
      </w:pPr>
      <w:r>
        <w:rPr>
          <w:b/>
        </w:rPr>
        <w:t xml:space="preserve">Voraussetzung: </w:t>
      </w:r>
      <w:r>
        <w:t>Erfordert DA-03 Rollen und Standards</w:t>
      </w:r>
    </w:p>
    <w:p>
      <w:pPr>
        <w:spacing w:before="120" w:after="120"/>
      </w:pPr>
      <w:r>
        <w:rPr>
          <w:b/>
        </w:rPr>
        <w:t xml:space="preserve">Ergebnis: </w:t>
      </w:r>
      <w:r>
        <w:t>Aktualisierte Workflow-Vorlagen</w:t>
      </w:r>
    </w:p>
    <w:p>
      <w:r>
        <w:rPr>
          <w:b/>
        </w:rPr>
        <w:t>Empfehlungen:</w:t>
      </w:r>
    </w:p>
    <w:p>
      <w:pPr>
        <w:pStyle w:val="ListBullet"/>
      </w:pPr>
      <w:r>
        <w:t>Integrieren Sie Checkpoints unter Verwendung von DAMA Leitlinien zur Integration struktureller Kontrollen in operative und analytische Datenprozesse wie in DMBOK2 beschrieben (Kapitel 3.3, S. 58–59).</w:t>
      </w:r>
    </w:p>
    <w:p>
      <w:pPr>
        <w:pStyle w:val="ListBullet"/>
      </w:pPr>
      <w:r>
        <w:t>Stellen Sie sicher, dass Kontrollpunkte die DAMA Lebenszykluskontrollerwartungen für Erstellung, Transformation und Veröffentlichung widerspiegeln (Kapitel 4.3, S. 92).</w:t>
      </w:r>
    </w:p>
    <w:p>
      <w:pPr>
        <w:pStyle w:val="ListBullet"/>
      </w:pPr>
      <w:r>
        <w:t>Validieren Sie, dass jeder Checkpoint DAMA-Regeln für Metadaten, Herkunft und strukturelle Konsistenz adressiert (Kapitel 10 und 11).</w:t>
      </w:r>
    </w:p>
    <w:p>
      <w:pPr>
        <w:pStyle w:val="ListBullet"/>
      </w:pPr>
      <w:r>
        <w:t>Bestätigen Sie die Übereinstimmung mit DAMA Stewardship-Verantwortlichkeiten zur Durchsetzung von Entscheidungsgrenzen bei Workflow-Schritten (Kapitel 4, S. 86–87).</w:t>
      </w:r>
    </w:p>
    <w:p>
      <w:r>
        <w:rPr>
          <w:b/>
        </w:rPr>
        <w:t>Hinweise:</w:t>
      </w:r>
    </w:p>
    <w:p>
      <w:pPr>
        <w:pStyle w:val="ListBullet"/>
      </w:pPr>
      <w:r>
        <w:t>Verwendung von DCAM-Workflow-Fähigkeitszuordnung zur Sicherstellung, dass Checkpoints Unternehmensarchitekturziele verstärken.</w:t>
      </w:r>
    </w:p>
    <w:p>
      <w:pPr>
        <w:spacing w:before="240"/>
      </w:pPr>
    </w:p>
    <w:p>
      <w:pPr>
        <w:spacing w:before="120" w:after="120"/>
      </w:pPr>
      <w:r>
        <w:rPr>
          <w:b/>
        </w:rPr>
        <w:t xml:space="preserve">Prozedurnummer: </w:t>
      </w:r>
      <w:r>
        <w:t>2</w:t>
      </w:r>
    </w:p>
    <w:p>
      <w:pPr>
        <w:spacing w:before="120" w:after="120"/>
      </w:pPr>
      <w:r>
        <w:rPr>
          <w:b/>
        </w:rPr>
        <w:t xml:space="preserve">Name: </w:t>
      </w:r>
      <w:r>
        <w:t>Integrieren Sie Architekturkriterien in Modellierungs- und Integrationsentscheidungen</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basierend auf DAMA Modellierungs- und Strukturerwartungen integrieren, die definieren, wie Architektur konzeptionelles, logisches und physisches Design leiten muss (Kapitel 10, S. 282–284).</w:t>
      </w:r>
    </w:p>
    <w:p>
      <w:pPr>
        <w:pStyle w:val="ListBullet"/>
      </w:pPr>
      <w:r>
        <w:t>Sicherstellung, dass strukturelle Abhängigkeiten mit der DAMA-funktionalen Architektur-Governance übereinstimmen, die semantische Klarheit und geschäftliche Bedeutung abdeckt (Kapitel 3.3, S. 58).</w:t>
      </w:r>
    </w:p>
    <w:p>
      <w:pPr>
        <w:pStyle w:val="ListBullet"/>
      </w:pPr>
      <w:r>
        <w:t>Validieren Sie Integrationsentscheidungen anhand von DAMA Qualitäts- und Metadatenregeln (Kapitel 11, S. 308–311).</w:t>
      </w:r>
    </w:p>
    <w:p>
      <w:pPr>
        <w:pStyle w:val="ListBullet"/>
      </w:pPr>
      <w:r>
        <w:t>Bestätigen Sie die Übereinstimmung mit den DAMA Verantwortlichkeiten für Stewardship bei Definition und Genehmigung von Modellierungsstandards (Kapitel 4, S. 86–89).</w:t>
      </w:r>
    </w:p>
    <w:p>
      <w:r>
        <w:rPr>
          <w:b/>
        </w:rPr>
        <w:t>Hinweise:</w:t>
      </w:r>
    </w:p>
    <w:p>
      <w:pPr>
        <w:pStyle w:val="ListBullet"/>
      </w:pPr>
      <w:r>
        <w:t>Verwenden Sie CMMI-Designverifizierungslogik zur Verstärkung von Rückverfolgbarkeit und struktureller Korrektheit.</w:t>
      </w:r>
    </w:p>
    <w:p>
      <w:pPr>
        <w:spacing w:before="240"/>
      </w:pPr>
    </w:p>
    <w:p>
      <w:pPr>
        <w:spacing w:before="120" w:after="120"/>
      </w:pPr>
      <w:r>
        <w:rPr>
          <w:b/>
        </w:rPr>
        <w:t xml:space="preserve">Prozedurnummer: </w:t>
      </w:r>
      <w:r>
        <w:t>3</w:t>
      </w:r>
    </w:p>
    <w:p>
      <w:pPr>
        <w:spacing w:before="120" w:after="120"/>
      </w:pPr>
      <w:r>
        <w:rPr>
          <w:b/>
        </w:rPr>
        <w:t xml:space="preserve">Name: </w:t>
      </w:r>
      <w:r>
        <w:t>Aktualisierung der Lebenszyklusdokumentation mit architektonischen 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Aktualisieren Sie die Dokumentation gemäß dem DAMA-Lebenszyklusmodell, das Prüfpunkt für die Governance der strukturellen Entwicklung definiert (Kapitel 4.3, S. 92).</w:t>
      </w:r>
    </w:p>
    <w:p>
      <w:pPr>
        <w:pStyle w:val="ListBullet"/>
      </w:pPr>
      <w:r>
        <w:t>Stellen Sie sicher, dass Architektur-Anforderungen mit den Erwartungen von DAMA an Metadatenstruktur und Herkunftsdokumentation übereinstimmen (Kapitel 10, S. 282).</w:t>
      </w:r>
    </w:p>
    <w:p>
      <w:pPr>
        <w:pStyle w:val="ListBullet"/>
      </w:pPr>
      <w:r>
        <w:t>Automatisieren Sie Metadaten-Modell-Ausrichtung und strukturelle Validierung</w:t>
      </w:r>
    </w:p>
    <w:p>
      <w:pPr>
        <w:pStyle w:val="ListBullet"/>
      </w:pPr>
      <w:r>
        <w:t>Bestätigen Sie, dass strukturelle Abhängigkeiten und Änderungsstellen den DAMA Governance-Regeln folgen (Kapitel 3.5, S. 62–63).</w:t>
      </w:r>
    </w:p>
    <w:p>
      <w:r>
        <w:rPr>
          <w:b/>
        </w:rPr>
        <w:t>Hinweise:</w:t>
      </w:r>
    </w:p>
    <w:p>
      <w:pPr>
        <w:pStyle w:val="ListBullet"/>
      </w:pPr>
      <w:r>
        <w:t>Verwendung von DCAM-Lebenszyklus-Fähigkeitsindikatoren zur Verbesserung der Konsistenz über Lebenszyklusphasen hinweg.</w:t>
      </w:r>
    </w:p>
    <w:p>
      <w:pPr>
        <w:spacing w:before="240"/>
      </w:pPr>
    </w:p>
    <w:p>
      <w:pPr>
        <w:spacing w:before="120" w:after="120"/>
      </w:pPr>
      <w:r>
        <w:rPr>
          <w:b/>
        </w:rPr>
        <w:t xml:space="preserve">Prozedurnummer: </w:t>
      </w:r>
      <w:r>
        <w:t>4</w:t>
      </w:r>
    </w:p>
    <w:p>
      <w:pPr>
        <w:spacing w:before="120" w:after="120"/>
      </w:pPr>
      <w:r>
        <w:rPr>
          <w:b/>
        </w:rPr>
        <w:t xml:space="preserve">Name: </w:t>
      </w:r>
      <w:r>
        <w:t>Strukturelle 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architektonischer Kontrollen</w:t>
      </w:r>
    </w:p>
    <w:p>
      <w:r>
        <w:rPr>
          <w:b/>
        </w:rPr>
        <w:t>Empfehlungen:</w:t>
      </w:r>
    </w:p>
    <w:p>
      <w:pPr>
        <w:pStyle w:val="ListBullet"/>
      </w:pPr>
      <w:r>
        <w:t>Wenden Sie Kontrollen gemäß den DAMA strukturellen Governance-Erwartungen an, die die Validierung von Modellen, Beziehungen und Semantik vor Genehmigungen erfordern (Kapitel 3.3, S. 58).</w:t>
      </w:r>
    </w:p>
    <w:p>
      <w:pPr>
        <w:pStyle w:val="ListBullet"/>
      </w:pPr>
      <w:r>
        <w:t>Stellen Sie sicher, dass Prüfungen Metadaten-, Herkunfts- und semantische Qualitätsindikatoren aus DAMA einbeziehen (Kapitel 10 und 11).</w:t>
      </w:r>
    </w:p>
    <w:p>
      <w:pPr>
        <w:pStyle w:val="ListBullet"/>
      </w:pPr>
      <w:r>
        <w:t>Validieren Sie, dass Entscheidungspunkte Stewardship-Verantwortlichkeiten durchsetzen, einschließlich Genehmigung, Eskalation und Korrekturmaßnahmen (Kapitel 4, S. 86–89).</w:t>
      </w:r>
    </w:p>
    <w:p>
      <w:pPr>
        <w:pStyle w:val="ListBullet"/>
      </w:pPr>
      <w:r>
        <w:t>Bestätigung, dass strukturelle Prüfungen mit DAMA-Lebenszyklus-Checkpoints übereinstimmen (Kapitel 4.3, S. 92).</w:t>
      </w:r>
    </w:p>
    <w:p>
      <w:r>
        <w:rPr>
          <w:b/>
        </w:rPr>
        <w:t>Hinweise:</w:t>
      </w:r>
    </w:p>
    <w:p>
      <w:pPr>
        <w:pStyle w:val="ListBullet"/>
      </w:pPr>
      <w:r>
        <w:t>Verwenden Sie CMMI Verifizierungsaktivitäten, um die Wiederholbarkeit der Anwendung architektonischer Kontrollen zu verbessern.</w:t>
      </w:r>
    </w:p>
    <w:p>
      <w:pPr>
        <w:spacing w:before="240"/>
      </w:pPr>
    </w:p>
    <w:p>
      <w:pPr>
        <w:spacing w:before="120" w:after="120"/>
      </w:pPr>
      <w:r>
        <w:rPr>
          <w:b/>
        </w:rPr>
        <w:t xml:space="preserve">Prozedurnummer: </w:t>
      </w:r>
      <w:r>
        <w:t>5</w:t>
      </w:r>
    </w:p>
    <w:p>
      <w:pPr>
        <w:spacing w:before="120" w:after="120"/>
      </w:pPr>
      <w:r>
        <w:rPr>
          <w:b/>
        </w:rPr>
        <w:t xml:space="preserve">Name: </w:t>
      </w:r>
      <w:r>
        <w:t>Architektonische Einhaltung über Domänen hinweg verfolgen</w:t>
      </w:r>
    </w:p>
    <w:p>
      <w:pPr>
        <w:spacing w:before="120" w:after="120"/>
      </w:pPr>
      <w:r>
        <w:rPr>
          <w:b/>
        </w:rPr>
        <w:t xml:space="preserve">Voraussetzung: </w:t>
      </w:r>
      <w:r>
        <w:t>Erfordert Überwachungsroutinen</w:t>
      </w:r>
    </w:p>
    <w:p>
      <w:pPr>
        <w:spacing w:before="120" w:after="120"/>
      </w:pPr>
      <w:r>
        <w:rPr>
          <w:b/>
        </w:rPr>
        <w:t xml:space="preserve">Ergebnis: </w:t>
      </w:r>
      <w:r>
        <w:t>Architektur-Compliance-Register</w:t>
      </w:r>
    </w:p>
    <w:p>
      <w:r>
        <w:rPr>
          <w:b/>
        </w:rPr>
        <w:t>Empfehlungen:</w:t>
      </w:r>
    </w:p>
    <w:p>
      <w:pPr>
        <w:pStyle w:val="ListBullet"/>
      </w:pPr>
      <w:r>
        <w:t>Verfolgen Sie die Einhaltung mithilfe der Governance-Überwachungserwartungen von DAMA, die strukturelle Konsistenz und domänenübergreifende Ausrichtung betonen (Kapitel 3.6, S. 64).</w:t>
      </w:r>
    </w:p>
    <w:p>
      <w:pPr>
        <w:pStyle w:val="ListBullet"/>
      </w:pPr>
      <w:r>
        <w:t>Stellen Sie sicher, dass Einhaltungsprüfungen Metadaten- und semantische Kontrollen umfassen, die von DAMA definiert sind (Kapitel 10, S. 282–284).</w:t>
      </w:r>
    </w:p>
    <w:p>
      <w:pPr>
        <w:pStyle w:val="ListBullet"/>
      </w:pPr>
      <w:r>
        <w:t>Validieren Sie Abweichungen gegen DAMA Lifecycle-Rollenerwartungen (Kapitel 4.3, S. 92).</w:t>
      </w:r>
    </w:p>
    <w:p>
      <w:pPr>
        <w:pStyle w:val="ListBullet"/>
      </w:pPr>
      <w:r>
        <w:t>Bestätigen Sie, dass die Erfassung von Nachweisen den DAMA-Artefaktdokumentationspraktiken folgt (Kapitel 3 Anhang, S. 69).</w:t>
      </w:r>
    </w:p>
    <w:p>
      <w:r>
        <w:rPr>
          <w:b/>
        </w:rPr>
        <w:t>Hinweise:</w:t>
      </w:r>
    </w:p>
    <w:p>
      <w:pPr>
        <w:pStyle w:val="ListBullet"/>
      </w:pPr>
      <w:r>
        <w:t>Verwenden Sie DCAM Sicherungsindikatoren, um strukturelle Hotspots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Bestehende Arbeitsabläufe kartieren</w:t>
      </w:r>
    </w:p>
    <w:p>
      <w:pPr>
        <w:pStyle w:val="ListBullet"/>
      </w:pPr>
      <w:r>
        <w:t>Prüfpunkte definieren</w:t>
      </w:r>
    </w:p>
    <w:p>
      <w:pPr>
        <w:pStyle w:val="ListBullet"/>
      </w:pPr>
      <w:r>
        <w:t>Standardisierte Vorlagen erstellen</w:t>
      </w:r>
    </w:p>
    <w:p>
      <w:pPr>
        <w:pStyle w:val="ListBullet"/>
      </w:pPr>
      <w:r>
        <w:t>Rollen und Verantwortlichkeiten zuweisen</w:t>
      </w:r>
    </w:p>
    <w:p>
      <w:pPr>
        <w:pStyle w:val="ListBullet"/>
      </w:pPr>
      <w:r>
        <w:t>Abstimmung mit DCAM validieren</w:t>
      </w:r>
    </w:p>
    <w:p>
      <w:pPr>
        <w:pStyle w:val="ListBullet"/>
      </w:pPr>
      <w:r>
        <w:t>Überprüfung und Genehmigung durch Stakeholder</w:t>
      </w:r>
    </w:p>
    <w:p>
      <w:pPr>
        <w:pStyle w:val="ListBullet"/>
      </w:pPr>
      <w:r>
        <w:t>Kommunizieren und Schulungen durchführen</w:t>
      </w:r>
    </w:p>
    <w:p>
      <w:pPr>
        <w:pStyle w:val="ListBullet"/>
      </w:pPr>
      <w:r>
        <w:t>Überwachen und Iterieren</w:t>
      </w:r>
    </w:p>
    <w:p>
      <w:pPr>
        <w:pStyle w:val="Heading4"/>
      </w:pPr>
      <w:r>
        <w:t>3.5.2.3 Governance-Strukturelemente</w:t>
      </w:r>
    </w:p>
    <w:p>
      <w:r>
        <w:rPr>
          <w:b/>
        </w:rPr>
        <w:t xml:space="preserve">Zweck: </w:t>
      </w:r>
      <w:r>
        <w:t>Den Governance-Rahmen zu umreißen, der die Maßnahme unterstützt, einschließlich Rollen, Verantwortlichkeiten und Prozesse.</w:t>
      </w:r>
    </w:p>
    <w:p>
      <w:r>
        <w:rPr>
          <w:b/>
        </w:rPr>
        <w:t xml:space="preserve">Erwarteter Inhalt: </w:t>
      </w:r>
      <w:r>
        <w:t>Abdeckung der organisatorischen und Datenressourcen, Governance-Themen, Struktur, Entscheidungsbefugnis, Prozesse, Schnittstellen und Ausschlüsse.</w:t>
      </w:r>
    </w:p>
    <w:p>
      <w:pPr>
        <w:pStyle w:val="Heading5"/>
      </w:pPr>
      <w:r>
        <w:t>Beispielhafte Elemente</w:t>
      </w:r>
    </w:p>
    <w:p>
      <w:pPr>
        <w:pStyle w:val="Heading5"/>
      </w:pPr>
      <w:r>
        <w:t>Organisatorische Abdeckung: Alle Abteilungen, die an der Datenverwaltung beteiligt sind.</w:t>
      </w:r>
    </w:p>
    <w:p>
      <w:pPr>
        <w:pStyle w:val="Heading5"/>
      </w:pPr>
      <w:r>
        <w:t>Abdeckung der Datenressourcen: Alle Datenressourcen, die der Governance unterliegen.</w:t>
      </w:r>
    </w:p>
    <w:p>
      <w:pPr>
        <w:pStyle w:val="Heading5"/>
      </w:pPr>
      <w:r>
        <w:t>Governance-Themen: Datenqualität, Compliance und Architektur-Ausrichtung.</w:t>
      </w:r>
    </w:p>
    <w:p>
      <w:pPr>
        <w:pStyle w:val="Heading5"/>
      </w:pPr>
      <w:r>
        <w:t>Governance-Organisationsstruktur: Data Governance Council, Data Governance Office, Datenverantwortliche, Datenverwalter, Datenverwalter.</w:t>
      </w:r>
    </w:p>
    <w:p>
      <w:pPr>
        <w:pStyle w:val="Heading5"/>
      </w:pPr>
      <w:r>
        <w:t>Entscheidungsbefugnis-Modell: Definierte Rollen für die Entscheidungsfindung innerhalb des Governance-Rahmens.</w:t>
      </w:r>
    </w:p>
    <w:p>
      <w:pPr>
        <w:pStyle w:val="Heading5"/>
      </w:pPr>
      <w:r>
        <w:t>Governance-Prozesse</w:t>
      </w:r>
    </w:p>
    <w:p>
      <w:pPr>
        <w:pStyle w:val="ListBullet"/>
      </w:pPr>
      <w:r>
        <w:t>Prüfpunkte in Arbeitsabläufen festlegen</w:t>
      </w:r>
    </w:p>
    <w:p>
      <w:pPr>
        <w:pStyle w:val="ListBullet"/>
      </w:pPr>
      <w:r>
        <w:t>Einhaltung der Governance-Standards überwachen</w:t>
      </w:r>
    </w:p>
    <w:p>
      <w:pPr>
        <w:pStyle w:val="ListBullet"/>
      </w:pPr>
      <w:r>
        <w:t>Arbeitsvorlagen überprüfen und genehmigen</w:t>
      </w:r>
    </w:p>
    <w:p>
      <w:pPr>
        <w:pStyle w:val="ListBullet"/>
      </w:pPr>
      <w:r>
        <w:t>Schulungen durchführen</w:t>
      </w:r>
    </w:p>
    <w:p>
      <w:pPr>
        <w:pStyle w:val="ListBullet"/>
      </w:pPr>
      <w:r>
        <w:t>Regelmäßige Audits durchführen</w:t>
      </w:r>
    </w:p>
    <w:p>
      <w:pPr>
        <w:pStyle w:val="Heading5"/>
      </w:pPr>
      <w:r>
        <w:t>Schnittstellen zu anderen Governance-Strukturen: Koordination mit anderen Governance-Bereichen nach Bedarf.</w:t>
      </w:r>
    </w:p>
    <w:p>
      <w:pPr>
        <w:pStyle w:val="Heading5"/>
      </w:pPr>
      <w:r>
        <w:t>Explizite Ausschlüsse: Alle Arbeitsabläufe, die keine Prinzipien der Daten-Governance beinhalten.</w:t>
      </w:r>
    </w:p>
    <w:p>
      <w:pPr>
        <w:pStyle w:val="Heading4"/>
      </w:pPr>
      <w:r>
        <w:t>3.5.2.4 Kontroll- und Überwachungsmechanismen</w:t>
      </w:r>
    </w:p>
    <w:p>
      <w:r>
        <w:rPr>
          <w:b/>
        </w:rPr>
        <w:t xml:space="preserve">Zweck: </w:t>
      </w:r>
      <w:r>
        <w:t>Die formalen Kontroll- und Überwachungsmechanismen zu definieren, die für diese Maßnahme gelten.</w:t>
      </w:r>
    </w:p>
    <w:p>
      <w:pPr>
        <w:pStyle w:val="Heading5"/>
      </w:pPr>
      <w:r>
        <w:t>Überwachungs- und KPIs</w:t>
      </w:r>
    </w:p>
    <w:p>
      <w:pPr>
        <w:pStyle w:val="ListBullet"/>
      </w:pPr>
      <w:r>
        <w:t>Messbare Indikatoren im Einklang mit dem Aktionsziel definieren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3.5.2.5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3.6 DMD · Data Modelling and Design</w:t>
      </w:r>
    </w:p>
    <w:p>
      <w:pPr>
        <w:pStyle w:val="Heading3"/>
      </w:pPr>
      <w:r>
        <w:t>3.6.1 Kontextualisierung des Bewerteten Domänenbereichs</w:t>
      </w:r>
    </w:p>
    <w:p>
      <w:r>
        <w:rPr>
          <w:b/>
        </w:rPr>
        <w:t xml:space="preserve">Beschreibung: </w:t>
      </w:r>
      <w:r>
        <w:t>Diese Domäne untersucht konzeptionelle, logische und physische Modellierungspraktiken, die Standards, die deren Erstellung und Pflege regeln, sowie das Ausmaß, in dem strukturelle Definitionen mit Geschäftsssemantik übereinstimmen. Modellierung bildet die strukturelle Grundlage für Data Governance, indem sie gemeinsame Bedeutungen, kohärente Datenstrukturen und nachvollziehbare Beziehungen in der Organisation etabliert. Dies entspricht der Klassifizierung von Modellierung als Kernfunktion der Struktur, die Konsistenz, Interoperabilität und zuverlässiges Datenlebenszyklusmanagement ermöglicht (DAMA, International, 2017).</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Mittelständisches Unternehmen mit Fokus auf datengestützte Entscheidungsfindung.</w:t>
      </w:r>
    </w:p>
    <w:p>
      <w:pPr>
        <w:spacing w:after="120"/>
      </w:pPr>
      <w:r>
        <w:t>Ausgelöster Aktionscode: DMD-04</w:t>
      </w:r>
    </w:p>
    <w:p>
      <w:pPr>
        <w:pStyle w:val="Heading3"/>
      </w:pPr>
      <w:r>
        <w:t>3.6.2 Vorgeschriebenes Verfahrenspaket</w:t>
      </w:r>
    </w:p>
    <w:p>
      <w:pPr>
        <w:spacing w:after="120"/>
      </w:pPr>
      <w:r>
        <w:t>Das preskriptive Maßnahmenpaket konsolidiert domänenspezifische Schritte zur Weiterentwicklung des Reifegrades.</w:t>
        <w:br/>
      </w:r>
    </w:p>
    <w:p>
      <w:pPr>
        <w:pStyle w:val="Heading4"/>
      </w:pPr>
      <w:r>
        <w:t>3.6.2.1 Maßnahmendefinition</w:t>
      </w:r>
    </w:p>
    <w:p>
      <w:r>
        <w:rPr>
          <w:b/>
        </w:rPr>
        <w:t xml:space="preserve">Zweck: </w:t>
      </w:r>
      <w:r>
        <w:t>Die spezifische Maßnahme, die im Dokument behandelt wird, zu klären.</w:t>
      </w:r>
    </w:p>
    <w:p>
      <w:r>
        <w:rPr>
          <w:b/>
        </w:rPr>
        <w:t xml:space="preserve">Erwarteter Inhalt: </w:t>
      </w:r>
      <w:r>
        <w:t>Aktionscode, Titel, Ziel und Umfangsgrenzen.</w:t>
      </w:r>
    </w:p>
    <w:p>
      <w:pPr>
        <w:pStyle w:val="Heading5"/>
      </w:pPr>
      <w:r>
        <w:t>Beispielhafte Elemente</w:t>
      </w:r>
    </w:p>
    <w:p>
      <w:pPr>
        <w:pStyle w:val="Heading5"/>
      </w:pPr>
      <w:r>
        <w:t>Aktionscode und Titel: DMD-04 - Einbettung der Modellierungsgovernance in organisatorische und bereichsspezifische Routinen</w:t>
      </w:r>
    </w:p>
    <w:p>
      <w:pPr>
        <w:pStyle w:val="Heading5"/>
      </w:pPr>
      <w:r>
        <w:t>Aktionsziel: Strukturierte Modellierungsprüfpunkte in Arbeitsabläufe zu integrieren.</w:t>
      </w:r>
    </w:p>
    <w:p>
      <w:pPr>
        <w:pStyle w:val="Heading5"/>
      </w:pPr>
      <w:r>
        <w:t>Umfangsgrenzen der Maßnahme: Anwendbar auf alle datenspezifischen Arbeitsabläufe innerhalb des DMD.</w:t>
      </w:r>
    </w:p>
    <w:p>
      <w:pPr>
        <w:pStyle w:val="Heading4"/>
      </w:pPr>
      <w:r>
        <w:t>3.6.2.2 Verfahrensdefinition</w:t>
      </w:r>
    </w:p>
    <w:p>
      <w:r>
        <w:rPr>
          <w:b/>
        </w:rPr>
        <w:t xml:space="preserve">Zweck: </w:t>
      </w:r>
      <w:r>
        <w:t>Die notwendigen Verfahrensschritte für die Umsetzung im Detail darzulegen.</w:t>
      </w:r>
    </w:p>
    <w:p>
      <w:r>
        <w:rPr>
          <w:b/>
        </w:rPr>
        <w:t xml:space="preserve">Erwarteter Inhalt: </w:t>
      </w:r>
      <w:r>
        <w:t>Ziel, Voraussetzungen, Ergebnisse und schrittweise Ausführungsstruktur.</w:t>
      </w:r>
    </w:p>
    <w:p>
      <w:pPr>
        <w:pStyle w:val="Heading5"/>
      </w:pPr>
      <w:r>
        <w:t>Beispielhafte Elemente</w:t>
      </w:r>
    </w:p>
    <w:p>
      <w:pPr>
        <w:pStyle w:val="Heading5"/>
      </w:pPr>
      <w:r>
        <w:t>Verfahrensziel: Die Einhaltung der Modellierungsgovernance durch strukturierte Prüfungen sicherzustellen.</w:t>
      </w:r>
    </w:p>
    <w:p>
      <w:pPr>
        <w:pStyle w:val="Heading5"/>
      </w:pPr>
      <w:r>
        <w:t>Voraussetzungen: Erfordert DMD-03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Modellierungskontrollpunkte in Domänen-Workflows</w:t>
      </w:r>
    </w:p>
    <w:p>
      <w:pPr>
        <w:spacing w:before="120" w:after="120"/>
      </w:pPr>
      <w:r>
        <w:rPr>
          <w:b/>
        </w:rPr>
        <w:t xml:space="preserve">Voraussetzung: </w:t>
      </w:r>
      <w:r>
        <w:t>Erfordert DMD-03 Rollen und Standards</w:t>
      </w:r>
    </w:p>
    <w:p>
      <w:pPr>
        <w:spacing w:before="120" w:after="120"/>
      </w:pPr>
      <w:r>
        <w:rPr>
          <w:b/>
        </w:rPr>
        <w:t xml:space="preserve">Ergebnis: </w:t>
      </w:r>
      <w:r>
        <w:t>Aktualisierte Workflow-Vorlagen</w:t>
      </w:r>
    </w:p>
    <w:p>
      <w:r>
        <w:rPr>
          <w:b/>
        </w:rPr>
        <w:t>Empfehlungen:</w:t>
      </w:r>
    </w:p>
    <w:p>
      <w:pPr>
        <w:pStyle w:val="ListBullet"/>
      </w:pPr>
      <w:r>
        <w:t>Integrieren Sie Modellierungsprüfpunkte unter Verwendung der DAMA-Richtlinien zur Integration von Modellierungsregeln in Daten-Erstellungs-, Transformations- und Validierungsaktivitäten (Kapitel 3.3, S. 58–59).</w:t>
      </w:r>
    </w:p>
    <w:p>
      <w:pPr>
        <w:pStyle w:val="ListBullet"/>
      </w:pPr>
      <w:r>
        <w:t>Sicherstellen, dass Checkpoints den DAMA Lifecycle-Erwartungen für Definition, Genehmigung, Veröffentlichung und Außerdienststellung entsprechen (Kapitel 4.3, S. 92).</w:t>
      </w:r>
    </w:p>
    <w:p>
      <w:pPr>
        <w:pStyle w:val="ListBullet"/>
      </w:pPr>
      <w:r>
        <w:t>Validieren Sie, dass Kontrollpunkte semantische und Metadatenregeln enthalten, die von DAMA für Modellierungsfunktionen beschrieben werden (Kapitel 10, S. 282–284).</w:t>
      </w:r>
    </w:p>
    <w:p>
      <w:pPr>
        <w:pStyle w:val="ListBullet"/>
      </w:pPr>
      <w:r>
        <w:t>Bestätigen Sie, dass zugewiesene Stewards die Modellüberwachung gemäß den Stewardship-Richtlinien von DAMA durchführen (Kapitel 4, S. 86–89).</w:t>
      </w:r>
    </w:p>
    <w:p>
      <w:r>
        <w:rPr>
          <w:b/>
        </w:rPr>
        <w:t>Hinweise:</w:t>
      </w:r>
    </w:p>
    <w:p>
      <w:pPr>
        <w:pStyle w:val="ListBullet"/>
      </w:pPr>
      <w:r>
        <w:t>Verwenden Sie die DCAM Workflow-Ausrichtungsrichtlinien, um sicherzustellen, dass semantische Kontrollen konsistent über Prozesse hinweg angewendet werden.</w:t>
      </w:r>
    </w:p>
    <w:p>
      <w:pPr>
        <w:spacing w:before="240"/>
      </w:pPr>
    </w:p>
    <w:p>
      <w:pPr>
        <w:spacing w:before="120" w:after="120"/>
      </w:pPr>
      <w:r>
        <w:rPr>
          <w:b/>
        </w:rPr>
        <w:t xml:space="preserve">Prozedurnummer: </w:t>
      </w:r>
      <w:r>
        <w:t>2</w:t>
      </w:r>
    </w:p>
    <w:p>
      <w:pPr>
        <w:spacing w:before="120" w:after="120"/>
      </w:pPr>
      <w:r>
        <w:rPr>
          <w:b/>
        </w:rPr>
        <w:t xml:space="preserve">Name: </w:t>
      </w:r>
      <w:r>
        <w:t>Integrieren Sie Modellierungskriterien in Systemdesign- und Integrationsarbeitsabläufe</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unter Verwendung der Modellierungs- und Strukturerwartungen von DAMA integrieren, die konzeptionelle und logische Ausrichtung über Systeme definieren (Kapitel 10, S. 282).</w:t>
      </w:r>
    </w:p>
    <w:p>
      <w:pPr>
        <w:pStyle w:val="ListBullet"/>
      </w:pPr>
      <w:r>
        <w:t>Stellen Sie sicher, dass Integrationsentscheidungen DAMA Metadatenregeln für Benennung, Definition und Herkunft widerspiegeln (Kapitel 9, S. 236).</w:t>
      </w:r>
    </w:p>
    <w:p>
      <w:pPr>
        <w:pStyle w:val="ListBullet"/>
      </w:pPr>
      <w:r>
        <w:t>Validieren Sie die Lebenszyklus-Ausrichtung gemäß DAMA-Stewardship-Kontrollpunkten wie Definition, Genehmigung und Veröffentlichung (Kapitel 4.3, S. 92).</w:t>
      </w:r>
    </w:p>
    <w:p>
      <w:pPr>
        <w:pStyle w:val="ListBullet"/>
      </w:pPr>
      <w:r>
        <w:t>Bestätigung, dass die geschäftliche Bedeutung gemäß DAMA-semantischen Kohärenzprinzipien erhalten bleibt (Kapitel 3.3, S. 58).</w:t>
      </w:r>
    </w:p>
    <w:p>
      <w:r>
        <w:rPr>
          <w:b/>
        </w:rPr>
        <w:t>Hinweise:</w:t>
      </w:r>
    </w:p>
    <w:p>
      <w:pPr>
        <w:pStyle w:val="ListBullet"/>
      </w:pPr>
      <w:r>
        <w:t>CMMI Design-Verifikationsmethoden anwenden, um semantische Konsistenz über Systemkomponenten zu stärken.</w:t>
      </w:r>
    </w:p>
    <w:p>
      <w:pPr>
        <w:spacing w:before="240"/>
      </w:pPr>
    </w:p>
    <w:p>
      <w:pPr>
        <w:spacing w:before="120" w:after="120"/>
      </w:pPr>
      <w:r>
        <w:rPr>
          <w:b/>
        </w:rPr>
        <w:t xml:space="preserve">Prozedurnummer: </w:t>
      </w:r>
      <w:r>
        <w:t>3</w:t>
      </w:r>
    </w:p>
    <w:p>
      <w:pPr>
        <w:spacing w:before="120" w:after="120"/>
      </w:pPr>
      <w:r>
        <w:rPr>
          <w:b/>
        </w:rPr>
        <w:t xml:space="preserve">Name: </w:t>
      </w:r>
      <w:r>
        <w:t>Aktualisieren Sie Lebenszyklusdokumentation mit Modellierungsanforderungen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Dokumentation mit DAMA Lifecycle-Richtlinien für Modellierungs- und Datendefinitions-Governance aktualisieren (Kapitel 4.3, S. 92).</w:t>
      </w:r>
    </w:p>
    <w:p>
      <w:pPr>
        <w:pStyle w:val="ListBullet"/>
      </w:pPr>
      <w:r>
        <w:t>Implementieren Sie automatisierte Herkunftsvalidierung</w:t>
      </w:r>
    </w:p>
    <w:p>
      <w:pPr>
        <w:pStyle w:val="ListBullet"/>
      </w:pPr>
      <w:r>
        <w:t>Bestätigen Sie, dass Eigentums- und Stewardship-Verantwortlichkeiten gemäß DAMA Governance-Rollen klar ausgedrückt sind (Kapitel 3.2, S. 55–57).</w:t>
      </w:r>
    </w:p>
    <w:p>
      <w:pPr>
        <w:pStyle w:val="ListBullet"/>
      </w:pPr>
      <w:r>
        <w:t>Validieren Sie Lebenszyklusphasen basierend auf den DAMA Anforderungen für Erstellung, Transformation und Ausmusterung von Datenstrukturen (Kapitel 9 bis 11).</w:t>
      </w:r>
    </w:p>
    <w:p>
      <w:r>
        <w:rPr>
          <w:b/>
        </w:rPr>
        <w:t>Hinweise:</w:t>
      </w:r>
    </w:p>
    <w:p>
      <w:pPr>
        <w:pStyle w:val="ListBullet"/>
      </w:pPr>
      <w:r>
        <w:t>Verwendung von DCAM-Lifecycle-Fähigkeitskriterien zur Verbesserung der Modellierungsintegration über Lifecycle-Phasen hinweg.</w:t>
      </w:r>
    </w:p>
    <w:p>
      <w:pPr>
        <w:spacing w:before="240"/>
      </w:pPr>
    </w:p>
    <w:p>
      <w:pPr>
        <w:spacing w:before="120" w:after="120"/>
      </w:pPr>
      <w:r>
        <w:rPr>
          <w:b/>
        </w:rPr>
        <w:t xml:space="preserve">Prozedurnummer: </w:t>
      </w:r>
      <w:r>
        <w:t>4</w:t>
      </w:r>
    </w:p>
    <w:p>
      <w:pPr>
        <w:spacing w:before="120" w:after="120"/>
      </w:pPr>
      <w:r>
        <w:rPr>
          <w:b/>
        </w:rPr>
        <w:t xml:space="preserve">Name: </w:t>
      </w:r>
      <w:r>
        <w:t>Modellierungsprüfungen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für Modellierungskontrollen</w:t>
      </w:r>
    </w:p>
    <w:p>
      <w:r>
        <w:rPr>
          <w:b/>
        </w:rPr>
        <w:t>Empfehlungen:</w:t>
      </w:r>
    </w:p>
    <w:p>
      <w:pPr>
        <w:pStyle w:val="ListBullet"/>
      </w:pPr>
      <w:r>
        <w:t>Wenden Sie Kontrollen gemäß den DAMA Modellierungs- und Governance-Erwartungen an, die die Validierung von Struktur, Beziehungen und Bedeutung vor der Genehmigung erfordern (Kapitel 10, S. 282).</w:t>
      </w:r>
    </w:p>
    <w:p>
      <w:pPr>
        <w:pStyle w:val="ListBullet"/>
      </w:pPr>
      <w:r>
        <w:t>Validieren Sie gegen DAMA-Metadaten- und semantische Konsistenz-Erwartungen (Kapitel 9, S. 236).</w:t>
      </w:r>
    </w:p>
    <w:p>
      <w:pPr>
        <w:pStyle w:val="ListBullet"/>
      </w:pPr>
      <w:r>
        <w:t>Sicherstellen, dass Entscheidungspunkte Stewardship-Überwachung und Eskalation bei Bedarf durchsetzen, wie von DAMA definiert (Kapitel 3.4, S. 60).</w:t>
      </w:r>
    </w:p>
    <w:p>
      <w:pPr>
        <w:pStyle w:val="ListBullet"/>
      </w:pPr>
      <w:r>
        <w:t>Bestätigen Sie, dass Lebenszyklus-Kontrollen gemäß den DAMA-Modellierungs-Checkpoints eingehalten werden (Kapitel 4.3, S. 92).</w:t>
      </w:r>
    </w:p>
    <w:p>
      <w:r>
        <w:rPr>
          <w:b/>
        </w:rPr>
        <w:t>Hinweise:</w:t>
      </w:r>
    </w:p>
    <w:p>
      <w:pPr>
        <w:pStyle w:val="ListBullet"/>
      </w:pPr>
      <w:r>
        <w:t>Verwendung von CMMI-Verifikationslogik zur Verbesserung der Wiederholbarkeit der Validierung von Modellierungsentscheidungen.</w:t>
      </w:r>
    </w:p>
    <w:p>
      <w:pPr>
        <w:spacing w:before="240"/>
      </w:pPr>
    </w:p>
    <w:p>
      <w:pPr>
        <w:spacing w:before="120" w:after="120"/>
      </w:pPr>
      <w:r>
        <w:rPr>
          <w:b/>
        </w:rPr>
        <w:t xml:space="preserve">Prozedurnummer: </w:t>
      </w:r>
      <w:r>
        <w:t>5</w:t>
      </w:r>
    </w:p>
    <w:p>
      <w:pPr>
        <w:spacing w:before="120" w:after="120"/>
      </w:pPr>
      <w:r>
        <w:rPr>
          <w:b/>
        </w:rPr>
        <w:t xml:space="preserve">Name: </w:t>
      </w:r>
      <w:r>
        <w:t>Modellierungstreue domänenübergreifend verfolgen</w:t>
      </w:r>
    </w:p>
    <w:p>
      <w:pPr>
        <w:spacing w:before="120" w:after="120"/>
      </w:pPr>
      <w:r>
        <w:rPr>
          <w:b/>
        </w:rPr>
        <w:t xml:space="preserve">Voraussetzung: </w:t>
      </w:r>
      <w:r>
        <w:t>Erfordert Überwachungsroutinen</w:t>
      </w:r>
    </w:p>
    <w:p>
      <w:pPr>
        <w:spacing w:before="120" w:after="120"/>
      </w:pPr>
      <w:r>
        <w:rPr>
          <w:b/>
        </w:rPr>
        <w:t xml:space="preserve">Ergebnis: </w:t>
      </w:r>
      <w:r>
        <w:t>Modellierungs-Compliance-Register</w:t>
      </w:r>
    </w:p>
    <w:p>
      <w:r>
        <w:rPr>
          <w:b/>
        </w:rPr>
        <w:t>Empfehlungen:</w:t>
      </w:r>
    </w:p>
    <w:p>
      <w:pPr>
        <w:pStyle w:val="ListBullet"/>
      </w:pPr>
      <w:r>
        <w:t>Einhaltung mit DAMA Richtlinien für Governance-Monitoring über Modellierungsprozesse hinweg verfolgen (Kapitel 3.6, S. 64).</w:t>
      </w:r>
    </w:p>
    <w:p>
      <w:pPr>
        <w:pStyle w:val="ListBullet"/>
      </w:pPr>
      <w:r>
        <w:t>Stellen Sie sicher, dass das Tracking Metadaten- und semantische Abstimmungsprüfungen umfasst (Kapitel 10, S. 282–284).</w:t>
      </w:r>
    </w:p>
    <w:p>
      <w:pPr>
        <w:pStyle w:val="ListBullet"/>
      </w:pPr>
      <w:r>
        <w:t>Validieren Sie, dass Abweichungen gemäß DAMA Governance-Eskalationsregeln erfasst und eskaliert werden (Kapitel 3.4, S. 60).</w:t>
      </w:r>
    </w:p>
    <w:p>
      <w:pPr>
        <w:pStyle w:val="ListBullet"/>
      </w:pPr>
      <w:r>
        <w:t>Bestätigen Sie die Einbindung von Stewards und Eigentümern im Einklang mit den Stewardship-Verpflichtungen von DAMA (Kapitel 4, S. 86–87).</w:t>
      </w:r>
    </w:p>
    <w:p>
      <w:r>
        <w:rPr>
          <w:b/>
        </w:rPr>
        <w:t>Hinweise:</w:t>
      </w:r>
    </w:p>
    <w:p>
      <w:pPr>
        <w:pStyle w:val="ListBullet"/>
      </w:pPr>
      <w:r>
        <w:t>DCAM Modellierungs-Sicherungsindikatoren anwenden, um Modellierungsschwächen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Identifizierung von Arbeitsabläufen</w:t>
      </w:r>
    </w:p>
    <w:p>
      <w:pPr>
        <w:pStyle w:val="ListBullet"/>
      </w:pPr>
      <w:r>
        <w:t>Definition von Modellierungsprüfpunkten</w:t>
      </w:r>
    </w:p>
    <w:p>
      <w:pPr>
        <w:pStyle w:val="ListBullet"/>
      </w:pPr>
      <w:r>
        <w:t>Einbeziehung von semantischen und Metadatenregeln</w:t>
      </w:r>
    </w:p>
    <w:p>
      <w:pPr>
        <w:pStyle w:val="ListBullet"/>
      </w:pPr>
      <w:r>
        <w:t>Zuweisung von Datenverantwortlichen</w:t>
      </w:r>
    </w:p>
    <w:p>
      <w:pPr>
        <w:pStyle w:val="ListBullet"/>
      </w:pPr>
      <w:r>
        <w:t>Entwicklung aktualisierter Arbeitsvorlagen</w:t>
      </w:r>
    </w:p>
    <w:p>
      <w:pPr>
        <w:pStyle w:val="ListBullet"/>
      </w:pPr>
      <w:r>
        <w:t>Überprüfung und Genehmigung der Arbeitsvorlagen</w:t>
      </w:r>
    </w:p>
    <w:p>
      <w:pPr>
        <w:pStyle w:val="ListBullet"/>
      </w:pPr>
      <w:r>
        <w:t>Implementierung und Überwachung der Arbeitsabläufe</w:t>
      </w:r>
    </w:p>
    <w:p>
      <w:pPr>
        <w:pStyle w:val="ListBullet"/>
      </w:pPr>
      <w:r>
        <w:t>Durchführung regelmäßiger Überprüfungen</w:t>
      </w:r>
    </w:p>
    <w:p>
      <w:pPr>
        <w:pStyle w:val="Heading4"/>
      </w:pPr>
      <w:r>
        <w:t>3.6.2.3 Governance-Strukturelemente</w:t>
      </w:r>
    </w:p>
    <w:p>
      <w:r>
        <w:rPr>
          <w:b/>
        </w:rPr>
        <w:t xml:space="preserve">Zweck: </w:t>
      </w:r>
      <w:r>
        <w:t>Den Governance-Rahmen zu umreißen, der das Verfahren unterstützt.</w:t>
      </w:r>
    </w:p>
    <w:p>
      <w:r>
        <w:rPr>
          <w:b/>
        </w:rPr>
        <w:t xml:space="preserve">Erwarteter Inhalt: </w:t>
      </w:r>
      <w:r>
        <w:t>Abdeckung, Themen, organisatorische Struktur, Entscheidungsbefugnis, Governance-Prozesse und Ausschlüsse.</w:t>
      </w:r>
    </w:p>
    <w:p>
      <w:pPr>
        <w:pStyle w:val="Heading5"/>
      </w:pPr>
      <w:r>
        <w:t>Beispielhafte Elemente</w:t>
      </w:r>
    </w:p>
    <w:p>
      <w:pPr>
        <w:pStyle w:val="Heading5"/>
      </w:pPr>
      <w:r>
        <w:t>Organisatorische Abdeckung: Alle Abteilungen, die am Datenmanagement beteiligt sind.</w:t>
      </w:r>
    </w:p>
    <w:p>
      <w:pPr>
        <w:pStyle w:val="Heading5"/>
      </w:pPr>
      <w:r>
        <w:t>Abdeckung der Datenressourcen: Alle Datenmodelle und verwandten Ressourcen.</w:t>
      </w:r>
    </w:p>
    <w:p>
      <w:pPr>
        <w:pStyle w:val="Heading5"/>
      </w:pPr>
      <w:r>
        <w:t>Governance-Themen: Datenqualität, Compliance und Stewardship.</w:t>
      </w:r>
    </w:p>
    <w:p>
      <w:pPr>
        <w:pStyle w:val="Heading5"/>
      </w:pPr>
      <w:r>
        <w:t>Governance-Organisationsstruktur: Data Governance Council, der das Data Governance Office überwacht.</w:t>
      </w:r>
    </w:p>
    <w:p>
      <w:pPr>
        <w:pStyle w:val="Heading5"/>
      </w:pPr>
      <w:r>
        <w:t>Entscheidungsbefugnis-Modell: Datenverantwortliche sind für Entscheidungen im Datenbereich verantwortlich.</w:t>
      </w:r>
    </w:p>
    <w:p>
      <w:pPr>
        <w:pStyle w:val="Heading5"/>
      </w:pPr>
      <w:r>
        <w:t>Governance-Prozesse</w:t>
      </w:r>
    </w:p>
    <w:p>
      <w:pPr>
        <w:pStyle w:val="ListBullet"/>
      </w:pPr>
      <w:r>
        <w:t>Modellierungsprüfpunkte festlegen</w:t>
      </w:r>
    </w:p>
    <w:p>
      <w:pPr>
        <w:pStyle w:val="ListBullet"/>
      </w:pPr>
      <w:r>
        <w:t>Einhaltung der Governance-Standards überwachen</w:t>
      </w:r>
    </w:p>
    <w:p>
      <w:pPr>
        <w:pStyle w:val="ListBullet"/>
      </w:pPr>
      <w:r>
        <w:t>Überprüfung der Zuweisungen von Datenverantwortlichen</w:t>
      </w:r>
    </w:p>
    <w:p>
      <w:pPr>
        <w:pStyle w:val="ListBullet"/>
      </w:pPr>
      <w:r>
        <w:t>Audits der Einhaltung von Arbeitsabläufen durchführen</w:t>
      </w:r>
    </w:p>
    <w:p>
      <w:pPr>
        <w:pStyle w:val="Heading5"/>
      </w:pPr>
      <w:r>
        <w:t>Schnittstellen zu anderen Governance-Strukturen: Koordination mit der Governance für Datenqualität und Datensicherheit.</w:t>
      </w:r>
    </w:p>
    <w:p>
      <w:pPr>
        <w:pStyle w:val="Heading5"/>
      </w:pPr>
      <w:r>
        <w:t>Explizite Ausschlüsse: Nicht datenspezifische Arbeitsabläufe.</w:t>
      </w:r>
    </w:p>
    <w:p>
      <w:pPr>
        <w:pStyle w:val="Heading4"/>
      </w:pPr>
      <w:r>
        <w:t>3.6.2.4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Kontrollausrichtung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3.6.2.5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3.7 Gemeinsame Elemente des Dokuments</w:t>
      </w:r>
    </w:p>
    <w:p>
      <w:pPr>
        <w:pStyle w:val="Heading3"/>
      </w:pPr>
      <w:r>
        <w:t>3.7.1 Dokument-Governance</w:t>
      </w:r>
    </w:p>
    <w:p>
      <w:pPr>
        <w:spacing w:after="120"/>
      </w:pPr>
      <w:r>
        <w:t>Regeln, um diesen Bericht kontrolliert, prüfbar und langfristig wartbar zu halten.</w:t>
      </w:r>
    </w:p>
    <w:p>
      <w:pPr>
        <w:pStyle w:val="Heading3"/>
      </w:pPr>
      <w:r>
        <w:t>3.7.2 Minimale organisatorische Nachweise</w:t>
      </w:r>
    </w:p>
    <w:p>
      <w:pPr>
        <w:spacing w:after="120"/>
      </w:pPr>
      <w:r>
        <w:t>Minimale organisatorische Evidenzen zur Unterstützung von Einführung und Nachweis der Governance.</w:t>
      </w:r>
    </w:p>
    <w:p>
      <w:pPr>
        <w:pStyle w:val="Heading3"/>
      </w:pPr>
      <w:r>
        <w:t>3.7.3 Evolutionskriterien für den nächsten Zyklus</w:t>
      </w:r>
    </w:p>
    <w:p>
      <w:pPr>
        <w:spacing w:after="120"/>
      </w:pPr>
      <w:r>
        <w:t>Kriterien zur Validierung der Bereitschaft für den nächsten Zyklus und Reifegrad.</w:t>
      </w:r>
    </w:p>
    <w:p>
      <w:r>
        <w:br w:type="page"/>
      </w:r>
    </w:p>
    <w:p>
      <w:pPr>
        <w:pStyle w:val="Heading1"/>
      </w:pPr>
      <w:r>
        <w:t>4. Referenzen</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