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GAD Corner - Citizen Guide</w:t>
      </w:r>
    </w:p>
    <w:p>
      <w:pPr>
        <w:pStyle w:val="Heading1"/>
      </w:pPr>
      <w:r>
        <w:t>1. Overview</w:t>
      </w:r>
    </w:p>
    <w:p>
      <w:r>
        <w:drawing>
          <wp:inline xmlns:a="http://schemas.openxmlformats.org/drawingml/2006/main" xmlns:pic="http://schemas.openxmlformats.org/drawingml/2006/picture">
            <wp:extent cx="5486400" cy="7180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full_17755301473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The GAD Corner Homepage</w:t>
      </w:r>
    </w:p>
    <w:p>
      <w:r>
        <w:br w:type="page"/>
      </w:r>
    </w:p>
    <w:p>
      <w:pPr>
        <w:pStyle w:val="Heading1"/>
      </w:pPr>
      <w:r>
        <w:t>2. Policies</w:t>
      </w:r>
    </w:p>
    <w:p>
      <w:r>
        <w:drawing>
          <wp:inline xmlns:a="http://schemas.openxmlformats.org/drawingml/2006/main" xmlns:pic="http://schemas.openxmlformats.org/drawingml/2006/picture">
            <wp:extent cx="5486400" cy="4143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ies_page_17755301671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Digital Policy Repository</w:t>
      </w:r>
    </w:p>
    <w:p>
      <w:r>
        <w:br w:type="page"/>
      </w:r>
    </w:p>
    <w:p>
      <w:pPr>
        <w:pStyle w:val="Heading1"/>
      </w:pPr>
      <w:r>
        <w:t>3. Calendar</w:t>
      </w:r>
    </w:p>
    <w:p>
      <w:r>
        <w:drawing>
          <wp:inline xmlns:a="http://schemas.openxmlformats.org/drawingml/2006/main" xmlns:pic="http://schemas.openxmlformats.org/drawingml/2006/picture">
            <wp:extent cx="5486400" cy="4426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_page_177553018238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Community Calendar</w:t>
      </w:r>
    </w:p>
    <w:p>
      <w:r>
        <w:br w:type="page"/>
      </w:r>
    </w:p>
    <w:p>
      <w:pPr>
        <w:pStyle w:val="Heading1"/>
      </w:pPr>
      <w:r>
        <w:t>4. Projects</w:t>
      </w:r>
    </w:p>
    <w:p>
      <w:r>
        <w:drawing>
          <wp:inline xmlns:a="http://schemas.openxmlformats.org/drawingml/2006/main" xmlns:pic="http://schemas.openxmlformats.org/drawingml/2006/picture">
            <wp:extent cx="5486400" cy="3537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_page_177553019776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Active Projects</w:t>
      </w:r>
    </w:p>
    <w:p>
      <w:r>
        <w:br w:type="page"/>
      </w:r>
    </w:p>
    <w:p>
      <w:pPr>
        <w:pStyle w:val="Heading1"/>
      </w:pPr>
      <w:r>
        <w:t>5. Knowledge Products</w:t>
      </w:r>
    </w:p>
    <w:p>
      <w:r>
        <w:drawing>
          <wp:inline xmlns:a="http://schemas.openxmlformats.org/drawingml/2006/main" xmlns:pic="http://schemas.openxmlformats.org/drawingml/2006/picture">
            <wp:extent cx="5486400" cy="7709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products_page_1775530221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0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Learning materials</w:t>
      </w:r>
    </w:p>
    <w:p>
      <w:r>
        <w:br w:type="page"/>
      </w:r>
    </w:p>
    <w:p>
      <w:pPr>
        <w:pStyle w:val="Heading1"/>
      </w:pPr>
      <w:r>
        <w:t>6. Livelihood</w:t>
      </w:r>
    </w:p>
    <w:p>
      <w:r>
        <w:drawing>
          <wp:inline xmlns:a="http://schemas.openxmlformats.org/drawingml/2006/main" xmlns:pic="http://schemas.openxmlformats.org/drawingml/2006/picture">
            <wp:extent cx="5486400" cy="9715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lihood_program_page_17755302894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Social feeds</w:t>
      </w:r>
    </w:p>
    <w:p>
      <w:r>
        <w:br w:type="page"/>
      </w:r>
    </w:p>
    <w:p>
      <w:pPr>
        <w:pStyle w:val="Heading1"/>
      </w:pPr>
      <w:r>
        <w:t>7. GFPS Structure</w:t>
      </w:r>
    </w:p>
    <w:p>
      <w:r>
        <w:drawing>
          <wp:inline xmlns:a="http://schemas.openxmlformats.org/drawingml/2006/main" xmlns:pic="http://schemas.openxmlformats.org/drawingml/2006/picture">
            <wp:extent cx="5486400" cy="937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structure_page_177553033766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7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Organizational structure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