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c127e53c1e825ac2288625d5ea3982870a060ee"/>
    <w:p>
      <w:pPr>
        <w:pStyle w:val="Heading1"/>
      </w:pPr>
      <w:r>
        <w:t xml:space="preserve">GlucoSense Connected Glucose Management Platform — PRD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A — Standard (no prototype)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2026-04-14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regulatory and clinical review</w:t>
      </w:r>
    </w:p>
    <w:p>
      <w:r>
        <w:pict>
          <v:rect style="width:0;height:1.5pt" o:hralign="center" o:hrstd="t" o:hr="t"/>
        </w:pict>
      </w:r>
    </w:p>
    <w:bookmarkStart w:id="14" w:name="section-1-opportunity-framing"/>
    <w:p>
      <w:pPr>
        <w:pStyle w:val="Heading2"/>
      </w:pPr>
      <w:r>
        <w:t xml:space="preserve">Section 1: Opportunity Framing</w:t>
      </w:r>
    </w:p>
    <w:bookmarkStart w:id="9" w:name="core-problem"/>
    <w:p>
      <w:pPr>
        <w:pStyle w:val="Heading3"/>
      </w:pPr>
      <w:r>
        <w:t xml:space="preserve">Core Problem</w:t>
      </w:r>
    </w:p>
    <w:p>
      <w:pPr>
        <w:pStyle w:val="FirstParagraph"/>
      </w:pPr>
      <w:r>
        <w:t xml:space="preserve">Patients with diabetes using FreeStyle Libre CGM sensors cannot see the real-time impact of specific food choices on their glucose levels, which causes 60-80% food logging abandonment within 30 days and leaves clinicians without dietary data to inform care decisions between appointments.</w:t>
      </w:r>
    </w:p>
    <w:p>
      <w:pPr>
        <w:pStyle w:val="BlockText"/>
      </w:pPr>
      <w:r>
        <w:rPr>
          <w:rStyle w:val="VerbatimChar"/>
        </w:rPr>
        <w:t xml:space="preserve">[TBD — owner: Product Research]</w:t>
      </w:r>
      <w:r>
        <w:t xml:space="preserve"> </w:t>
      </w:r>
      <w:r>
        <w:t xml:space="preserve">Validate 60-80% abandonment rate with internal FreeStyle Libre engagement data. Industry benchmarks (MySugr, mySugr/Roche 2024 retention reports) suggest 65-75% drop-off for manual food logging in CGM companion apps.</w:t>
      </w:r>
    </w:p>
    <w:bookmarkEnd w:id="9"/>
    <w:bookmarkStart w:id="10" w:name="hypothesis"/>
    <w:p>
      <w:pPr>
        <w:pStyle w:val="Heading3"/>
      </w:pPr>
      <w:r>
        <w:t xml:space="preserve">Hypothesis</w:t>
      </w:r>
    </w:p>
    <w:p>
      <w:pPr>
        <w:pStyle w:val="FirstParagraph"/>
      </w:pPr>
      <w:r>
        <w:t xml:space="preserve">If we build real-time food-glucose correlation with sub-30-second food logging (photo recognition + barcode + favorites), then 30-day food logging retention will increase from</w:t>
      </w:r>
      <w:r>
        <w:t xml:space="preserve"> </w:t>
      </w:r>
      <w:r>
        <w:rPr>
          <w:rStyle w:val="VerbatimChar"/>
        </w:rPr>
        <w:t xml:space="preserve">[TBD — baseline required]</w:t>
      </w:r>
      <w:r>
        <w:t xml:space="preserve"> </w:t>
      </w:r>
      <w:r>
        <w:t xml:space="preserve">to 60%+ because immediate visual feedback showing</w:t>
      </w:r>
      <w:r>
        <w:t xml:space="preserve"> </w:t>
      </w:r>
      <w:r>
        <w:t xml:space="preserve">“this meal caused this spike”</w:t>
      </w:r>
      <w:r>
        <w:t xml:space="preserve"> </w:t>
      </w:r>
      <w:r>
        <w:t xml:space="preserve">creates a reward loop that sustains engagement and drives dietary behavior change.</w:t>
      </w:r>
    </w:p>
    <w:bookmarkEnd w:id="10"/>
    <w:bookmarkStart w:id="11" w:name="strategy-fit"/>
    <w:p>
      <w:pPr>
        <w:pStyle w:val="Heading3"/>
      </w:pPr>
      <w:r>
        <w:t xml:space="preserve">Strategy Fit</w:t>
      </w:r>
    </w:p>
    <w:p>
      <w:pPr>
        <w:pStyle w:val="FirstParagraph"/>
      </w:pPr>
      <w:r>
        <w:rPr>
          <w:b/>
          <w:bCs/>
        </w:rPr>
        <w:t xml:space="preserve">FreeStyle Libre Ecosystem Expansion</w:t>
      </w:r>
      <w:r>
        <w:t xml:space="preserve"> </w:t>
      </w:r>
      <w:r>
        <w:t xml:space="preserve">— GlucoSense extends the Libre CGM hardware into a connected platform play, shifting Abbott from</w:t>
      </w:r>
      <w:r>
        <w:t xml:space="preserve"> </w:t>
      </w:r>
      <w:r>
        <w:t xml:space="preserve">“sensor company”</w:t>
      </w:r>
      <w:r>
        <w:t xml:space="preserve"> </w:t>
      </w:r>
      <w:r>
        <w:t xml:space="preserve">to</w:t>
      </w:r>
      <w:r>
        <w:t xml:space="preserve"> </w:t>
      </w:r>
      <w:r>
        <w:t xml:space="preserve">“glucose management platform.”</w:t>
      </w:r>
      <w:r>
        <w:t xml:space="preserve"> </w:t>
      </w:r>
      <w:r>
        <w:t xml:space="preserve">Directly supports:</w:t>
      </w:r>
      <w:r>
        <w:t xml:space="preserve"> </w:t>
      </w:r>
      <w:r>
        <w:t xml:space="preserve">- Abbott Diabetes Care growth strategy: increase recurring digital revenue per sensor user</w:t>
      </w:r>
      <w:r>
        <w:t xml:space="preserve"> </w:t>
      </w:r>
      <w:r>
        <w:t xml:space="preserve">- ADC connected ecosystem OKR: grow monthly active connected users by</w:t>
      </w:r>
      <w:r>
        <w:t xml:space="preserve"> </w:t>
      </w:r>
      <w:r>
        <w:rPr>
          <w:rStyle w:val="VerbatimChar"/>
        </w:rPr>
        <w:t xml:space="preserve">[TBD — owner: ADC Strategy]</w:t>
      </w:r>
      <w:r>
        <w:t xml:space="preserve">%</w:t>
      </w:r>
      <w:r>
        <w:t xml:space="preserve"> </w:t>
      </w:r>
      <w:r>
        <w:t xml:space="preserve">- Competitive differentiation vs. Dexcom Clarity and Medtronic CareLink, neither of which offers food-glucose correlation as a first-class feature</w:t>
      </w:r>
    </w:p>
    <w:bookmarkEnd w:id="11"/>
    <w:bookmarkStart w:id="12" w:name="solution-approach"/>
    <w:p>
      <w:pPr>
        <w:pStyle w:val="Heading3"/>
      </w:pPr>
      <w:r>
        <w:t xml:space="preserve">Solution Approach</w:t>
      </w:r>
    </w:p>
    <w:p>
      <w:pPr>
        <w:pStyle w:val="FirstParagraph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multi-actor connected platform where CGM glucose data streams in real time to web and mobile apps. Patients log food in under 30 seconds using AI-assisted recognition (photo, barcode, favorites). A SaMD-classified Correlation Engine time-aligns glucose readings with food entries and surfaces patterns. Clinicians, caregivers, and dietitians each get role-specific dashboards to monitor and collaborate on care.</w:t>
      </w:r>
    </w:p>
    <w:p>
      <w:pPr>
        <w:pStyle w:val="BodyText"/>
      </w:pPr>
      <w:r>
        <w:rPr>
          <w:b/>
          <w:bCs/>
        </w:rPr>
        <w:t xml:space="preserve">Why this approach:</w:t>
      </w:r>
      <w:r>
        <w:t xml:space="preserve"> </w:t>
      </w:r>
      <w:r>
        <w:t xml:space="preserve">- Builds on existing FreeStyle Libre BLE sensor hardware — no new hardware required</w:t>
      </w:r>
      <w:r>
        <w:t xml:space="preserve"> </w:t>
      </w:r>
      <w:r>
        <w:t xml:space="preserve">- Food-glucose correlation is the #1 unmet need in CGM companion apps (existing apps show raw glucose curves but don’t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spikes happen)</w:t>
      </w:r>
      <w:r>
        <w:t xml:space="preserve"> </w:t>
      </w:r>
      <w:r>
        <w:t xml:space="preserve">- Multi-actor model (patient + clinician + caregiver + dietitian) creates network effects — clinician adoption drives patient retention</w:t>
      </w:r>
      <w:r>
        <w:t xml:space="preserve"> </w:t>
      </w:r>
      <w:r>
        <w:t xml:space="preserve">- SaMD isolation of the Correlation Engine allows iterative regulatory submissions without blocking the rest of the platform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Smart Food Logger</w:t>
      </w:r>
      <w:r>
        <w:t xml:space="preserve"> </w:t>
      </w:r>
      <w:r>
        <w:t xml:space="preserve">— AI-assisted food entry (photo recognition, barcode scanning, favorites, quick-log) targeting &lt;30s per entry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Correlation Engine (SaMD)</w:t>
      </w:r>
      <w:r>
        <w:t xml:space="preserve"> </w:t>
      </w:r>
      <w:r>
        <w:t xml:space="preserve">— Time-aligned glucose + food pattern detection, isolated for FDA 510(k) / EU MDR regulatory traceability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Multi-Actor Portal System</w:t>
      </w:r>
      <w:r>
        <w:t xml:space="preserve"> </w:t>
      </w:r>
      <w:r>
        <w:t xml:space="preserve">— Patient, Clinician, Caregiver, Dietitian, and Admin portals with role-based access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Alert Engine</w:t>
      </w:r>
      <w:r>
        <w:t xml:space="preserve"> </w:t>
      </w:r>
      <w:r>
        <w:t xml:space="preserve">— Configurable glucose thresholds with multi-channel notifications (push, SMS, email) and escalation chains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EHR Integration Hub</w:t>
      </w:r>
      <w:r>
        <w:t xml:space="preserve"> </w:t>
      </w:r>
      <w:r>
        <w:t xml:space="preserve">— FHIR R4 adapter for bidirectional hospital EHR data exchange</w:t>
      </w:r>
    </w:p>
    <w:p>
      <w:pPr>
        <w:pStyle w:val="BodyText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Glucose-only app (no food logging)</w:t>
      </w:r>
      <w:r>
        <w:t xml:space="preserve"> </w:t>
      </w:r>
      <w:r>
        <w:t xml:space="preserve">— Rejected because it replicates LibreLink without differentiation. The correlation feature is the entire value proposition; without it, there’s no reason for patients to switch from the existing app.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Manual correlation (patient interprets their own data)</w:t>
      </w:r>
      <w:r>
        <w:t xml:space="preserve"> </w:t>
      </w:r>
      <w:r>
        <w:t xml:space="preserve">— Rejected because it requires nutritional literacy most patients don’t have, and produces inconsistent insights that clinicians can’t trust for care decisions.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Third-party food logging integration (partner with MyFitnessPal/Cronometer)</w:t>
      </w:r>
      <w:r>
        <w:t xml:space="preserve"> </w:t>
      </w:r>
      <w:r>
        <w:t xml:space="preserve">— Rejected because it introduces a dependency on external data formats, creates latency in the correlation pipeline (batch sync vs. real-time), and loses control over the food logging UX that directly drives the &lt;30s target.</w:t>
      </w:r>
    </w:p>
    <w:bookmarkEnd w:id="12"/>
    <w:bookmarkStart w:id="13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User Research:</w:t>
      </w:r>
      <w:r>
        <w:t xml:space="preserve"> </w:t>
      </w:r>
      <w:r>
        <w:rPr>
          <w:rStyle w:val="VerbatimChar"/>
        </w:rPr>
        <w:t xml:space="preserve">[TBD — owner: Product Research / ADC User Research]</w:t>
      </w:r>
      <w:r>
        <w:t xml:space="preserve"> </w:t>
      </w:r>
      <w:r>
        <w:t xml:space="preserve">— No primary research data provided. Required before PRD approval:</w:t>
      </w:r>
      <w:r>
        <w:t xml:space="preserve"> </w:t>
      </w:r>
      <w:r>
        <w:t xml:space="preserve">- N=</w:t>
      </w:r>
      <w:r>
        <w:rPr>
          <w:rStyle w:val="VerbatimChar"/>
        </w:rPr>
        <w:t xml:space="preserve">[TBD]</w:t>
      </w:r>
      <w:r>
        <w:t xml:space="preserve"> </w:t>
      </w:r>
      <w:r>
        <w:t xml:space="preserve">patient interviews on food logging friction with current CGM apps</w:t>
      </w:r>
      <w:r>
        <w:t xml:space="preserve"> </w:t>
      </w:r>
      <w:r>
        <w:t xml:space="preserve">- Clinician survey on between-visit data gaps (target: N=50+ endocrinologists)</w:t>
      </w:r>
      <w:r>
        <w:t xml:space="preserve"> </w:t>
      </w:r>
      <w:r>
        <w:t xml:space="preserve">- Validate &lt;30s food logging threshold as the engagement inflection point</w:t>
      </w:r>
    </w:p>
    <w:p>
      <w:pPr>
        <w:pStyle w:val="BodyText"/>
      </w:pPr>
      <w:r>
        <w:rPr>
          <w:b/>
          <w:bCs/>
        </w:rPr>
        <w:t xml:space="preserve">Competitive Snapshot: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Dexcom Clarity</w:t>
      </w:r>
      <w:r>
        <w:t xml:space="preserve">: Shows glucose trends and patterns but has zero food logging or correlation capability. Clinician-facing reports are PDF-based, not interactive.</w:t>
      </w:r>
      <w:r>
        <w:t xml:space="preserve"> </w:t>
      </w:r>
      <w:r>
        <w:rPr>
          <w:i/>
          <w:iCs/>
        </w:rPr>
        <w:t xml:space="preserve">Gap: no food integration. Differentiator: they own the G7 sensor ecosystem.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LibreLink (Abbott’s own)</w:t>
      </w:r>
      <w:r>
        <w:t xml:space="preserve">: Shows glucose readings and basic trend arrows. No food logging. Limited clinician sharing via LibreView.</w:t>
      </w:r>
      <w:r>
        <w:t xml:space="preserve"> </w:t>
      </w:r>
      <w:r>
        <w:rPr>
          <w:i/>
          <w:iCs/>
        </w:rPr>
        <w:t xml:space="preserve">Gap: no correlation or multi-actor collaboration. Differentiator: already has the Libre sensor user base — GlucoSense can inherit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MySugr (Roche)</w:t>
      </w:r>
      <w:r>
        <w:t xml:space="preserve">: Has food logging (manual text entry) but no AI-assisted input and no automated correlation to glucose. Logging abandonment is high due to manual friction.</w:t>
      </w:r>
      <w:r>
        <w:t xml:space="preserve"> </w:t>
      </w:r>
      <w:r>
        <w:rPr>
          <w:i/>
          <w:iCs/>
        </w:rPr>
        <w:t xml:space="preserve">Gap: no smart logging or automated correlation. Differentiator: Roche distribution and coaching feature.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Our gap:</w:t>
      </w:r>
      <w:r>
        <w:t xml:space="preserve"> </w:t>
      </w:r>
      <w:r>
        <w:t xml:space="preserve">No existing Abbott app correlates food to glucose.</w:t>
      </w:r>
      <w:r>
        <w:t xml:space="preserve"> </w:t>
      </w:r>
      <w:r>
        <w:rPr>
          <w:b/>
          <w:bCs/>
        </w:rPr>
        <w:t xml:space="preserve">Our differentiator:</w:t>
      </w:r>
      <w:r>
        <w:t xml:space="preserve"> </w:t>
      </w:r>
      <w:r>
        <w:t xml:space="preserve">AI-assisted food logging (&lt;30s) + automated correlation engine + multi-actor collaboration — none of the top 3 competitors offer all three.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ection-2-boundaries"/>
    <w:p>
      <w:pPr>
        <w:pStyle w:val="Heading2"/>
      </w:pPr>
      <w:r>
        <w:t xml:space="preserve">Section 2: Boundaries</w:t>
      </w:r>
    </w:p>
    <w:bookmarkStart w:id="15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iOS, Android (mobile), Web (portals)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Actors:</w:t>
      </w:r>
      <w:r>
        <w:t xml:space="preserve"> </w:t>
      </w:r>
      <w:r>
        <w:t xml:space="preserve">Patient, Clinician, Caregiver/Family Member, Dietitian/Nutritionist, Admin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Sensor:</w:t>
      </w:r>
      <w:r>
        <w:t xml:space="preserve"> </w:t>
      </w:r>
      <w:r>
        <w:t xml:space="preserve">FreeStyle Libre 2 and Libre 3 via 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Markets (Phase 1):</w:t>
      </w:r>
      <w:r>
        <w:t xml:space="preserve"> </w:t>
      </w:r>
      <w:r>
        <w:t xml:space="preserve">US (HIPAA, FDA SaMD pathway), EU (GDPR, EU MDR)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Food logging:</w:t>
      </w:r>
      <w:r>
        <w:t xml:space="preserve"> </w:t>
      </w:r>
      <w:r>
        <w:t xml:space="preserve">Photo recognition, barcode scanning, favorites/recent, manual text entry, regional food databases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Correlation:</w:t>
      </w:r>
      <w:r>
        <w:t xml:space="preserve"> </w:t>
      </w:r>
      <w:r>
        <w:t xml:space="preserve">Time-aligned glucose + food pattern detection (SaMD-classified)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Alerts:</w:t>
      </w:r>
      <w:r>
        <w:t xml:space="preserve"> </w:t>
      </w:r>
      <w:r>
        <w:t xml:space="preserve">Configurable glucose thresholds, multi-channel notification (push, SMS, email), escalation chains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EHR via FHIR R4, data export (PDF, CSV, FHIR)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 (Phase 1):</w:t>
      </w:r>
      <w:r>
        <w:t xml:space="preserve"> </w:t>
      </w:r>
      <w:r>
        <w:t xml:space="preserve">English, Spanish, German, French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HIPAA, GDPR, FDA 510(k) for Correlation Engine, EU MDR, IEC 62304 software lifecycle</w:t>
      </w:r>
    </w:p>
    <w:bookmarkEnd w:id="15"/>
    <w:bookmarkStart w:id="16" w:name="non-goals"/>
    <w:p>
      <w:pPr>
        <w:pStyle w:val="Heading3"/>
      </w:pPr>
      <w:r>
        <w:t xml:space="preserve">Non-Goals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Insulin dosing recommendations</w:t>
      </w:r>
      <w:r>
        <w:t xml:space="preserve"> </w:t>
      </w:r>
      <w:r>
        <w:t xml:space="preserve">— GlucoSense shows correlations and patterns, it does not recommend insulin doses. This is a common feature request but crosses into a different SaMD classification (Class III vs. Class II) and would add 18-24 months to regulatory timeline.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Pharmaceutical or supplement suggestions</w:t>
      </w:r>
      <w:r>
        <w:t xml:space="preserve"> </w:t>
      </w:r>
      <w:r>
        <w:t xml:space="preserve">— The platform does not recommend medications, supplements, or treatments. Clinicians make treatment decisions using GlucoSense data as one input.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Non-Libre CGM sensor support</w:t>
      </w:r>
      <w:r>
        <w:t xml:space="preserve"> </w:t>
      </w:r>
      <w:r>
        <w:t xml:space="preserve">— Phase 1 is FreeStyle Libre only. Dexcom G7 or Medtronic Guardian integration is a future consideration but adds BLE protocol complexity and partnership negotiations.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Meal planning or diet prescriptions</w:t>
      </w:r>
      <w:r>
        <w:t xml:space="preserve"> </w:t>
      </w:r>
      <w:r>
        <w:t xml:space="preserve">— GlucoSense shows what happened (correlation), not what to eat next (prescription). Dietitians use the data to inform their own recommendations.</w:t>
      </w:r>
    </w:p>
    <w:bookmarkEnd w:id="16"/>
    <w:bookmarkStart w:id="17" w:name="dependencies"/>
    <w:p>
      <w:pPr>
        <w:pStyle w:val="Heading3"/>
      </w:pPr>
      <w:r>
        <w:t xml:space="preserve">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FreeStyle Libre BLE SDK access and documentation</w:t>
            </w:r>
          </w:p>
        </w:tc>
        <w:tc>
          <w:tcPr/>
          <w:p>
            <w:pPr>
              <w:pStyle w:val="Compact"/>
            </w:pPr>
            <w:r>
              <w:t xml:space="preserve">ADC Sensor Engineering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 — owner: ADC Engineering to confirm SDK availability]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food &amp; nutrition database (US, EU markets)</w:t>
            </w:r>
          </w:p>
        </w:tc>
        <w:tc>
          <w:tcPr/>
          <w:p>
            <w:pPr>
              <w:pStyle w:val="Compact"/>
            </w:pPr>
            <w:r>
              <w:t xml:space="preserve">ADC Data Partnerships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 510(k) pre-submission for Correlation Engine (SaMD Class II)</w:t>
            </w:r>
          </w:p>
        </w:tc>
        <w:tc>
          <w:tcPr/>
          <w:p>
            <w:pPr>
              <w:pStyle w:val="Compact"/>
            </w:pPr>
            <w:r>
              <w:t xml:space="preserve">Regulatory Affairs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MDR technical documentation for Correlation Engine</w:t>
            </w:r>
          </w:p>
        </w:tc>
        <w:tc>
          <w:tcPr/>
          <w:p>
            <w:pPr>
              <w:pStyle w:val="Compact"/>
            </w:pPr>
            <w:r>
              <w:t xml:space="preserve">Regulatory Affairs (EU)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 BAA with cloud provider (AWS/Azure) for PHI hosting</w:t>
            </w:r>
          </w:p>
        </w:tc>
        <w:tc>
          <w:tcPr/>
          <w:p>
            <w:pPr>
              <w:pStyle w:val="Compact"/>
            </w:pPr>
            <w:r>
              <w:t xml:space="preserve">BTS Cloud Infrastructure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 — may already exist for other Abbott projects]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 R4 endpoint availability from target EHR systems (Epic, Cerner)</w:t>
            </w:r>
          </w:p>
        </w:tc>
        <w:tc>
          <w:tcPr/>
          <w:p>
            <w:pPr>
              <w:pStyle w:val="Compact"/>
            </w:pPr>
            <w:r>
              <w:t xml:space="preserve">ADC Interoperability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62304 compliant CI/CD pipeline for SaMD traceability</w:t>
            </w:r>
          </w:p>
        </w:tc>
        <w:tc>
          <w:tcPr/>
          <w:p>
            <w:pPr>
              <w:pStyle w:val="Compact"/>
            </w:pPr>
            <w:r>
              <w:t xml:space="preserve">BTS DevOps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training data for food image recognition (regional food photos)</w:t>
            </w:r>
          </w:p>
        </w:tc>
        <w:tc>
          <w:tcPr/>
          <w:p>
            <w:pPr>
              <w:pStyle w:val="Compact"/>
            </w:pPr>
            <w:r>
              <w:t xml:space="preserve">ADC Data Science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/ Compliance Review</w:t>
            </w:r>
          </w:p>
        </w:tc>
        <w:tc>
          <w:tcPr/>
          <w:p>
            <w:pPr>
              <w:pStyle w:val="Compact"/>
            </w:pPr>
            <w:r>
              <w:t xml:space="preserve">Legal / Regulatory Affairs / Privacy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17"/>
    <w:bookmarkStart w:id="18" w:name="ai-feature-readiness"/>
    <w:p>
      <w:pPr>
        <w:pStyle w:val="Heading3"/>
      </w:pPr>
      <w:r>
        <w:t xml:space="preserve">AI Feature Readiness</w:t>
      </w:r>
    </w:p>
    <w:p>
      <w:pPr>
        <w:pStyle w:val="FirstParagraph"/>
      </w:pPr>
      <w:r>
        <w:rPr>
          <w:i/>
          <w:iCs/>
        </w:rPr>
        <w:t xml:space="preserve">Data Sources:</w:t>
      </w:r>
      <w:r>
        <w:t xml:space="preserve"> </w:t>
      </w:r>
      <w:r>
        <w:t xml:space="preserve">- Food image recognition: requires labeled training dataset of 50K+ food images across US and EU regional cuisines. Dataset does not exist — must be sourced or licensed. Owner:</w:t>
      </w:r>
      <w:r>
        <w:t xml:space="preserve"> </w:t>
      </w:r>
      <w:r>
        <w:rPr>
          <w:rStyle w:val="VerbatimChar"/>
        </w:rPr>
        <w:t xml:space="preserve">[TBD — ADC Data Science]</w:t>
      </w:r>
      <w:r>
        <w:t xml:space="preserve">, timeline:</w:t>
      </w:r>
      <w:r>
        <w:t xml:space="preserve"> </w:t>
      </w:r>
      <w:r>
        <w:rPr>
          <w:rStyle w:val="VerbatimChar"/>
        </w:rPr>
        <w:t xml:space="preserve">[TBD]</w:t>
      </w:r>
      <w:r>
        <w:t xml:space="preserve"> </w:t>
      </w:r>
      <w:r>
        <w:t xml:space="preserve">- Barcode-to-nutrition mapping: requires UPC/EAN database license (OpenFoodFacts or Nutritionix). Owner:</w:t>
      </w:r>
      <w:r>
        <w:t xml:space="preserve"> </w:t>
      </w:r>
      <w:r>
        <w:rPr>
          <w:rStyle w:val="VerbatimChar"/>
        </w:rPr>
        <w:t xml:space="preserve">[TBD — ADC Data Partnerships]</w:t>
      </w:r>
      <w:r>
        <w:t xml:space="preserve">, timeline:</w:t>
      </w:r>
      <w:r>
        <w:t xml:space="preserve"> </w:t>
      </w:r>
      <w:r>
        <w:rPr>
          <w:rStyle w:val="VerbatimChar"/>
        </w:rPr>
        <w:t xml:space="preserve">[TBD]</w:t>
      </w:r>
      <w:r>
        <w:t xml:space="preserve"> </w:t>
      </w:r>
      <w:r>
        <w:t xml:space="preserve">- Glucose time-series data: available from existing FreeStyle Libre sensor readings via BLE SDK. Format: 1-minute or 5-minute intervals depending on Libre model.</w:t>
      </w:r>
    </w:p>
    <w:p>
      <w:pPr>
        <w:pStyle w:val="BodyText"/>
      </w:pPr>
      <w:r>
        <w:rPr>
          <w:i/>
          <w:iCs/>
        </w:rPr>
        <w:t xml:space="preserve">System Integrations:</w:t>
      </w:r>
      <w:r>
        <w:t xml:space="preserve"> </w:t>
      </w:r>
      <w:r>
        <w:t xml:space="preserve">- FreeStyle Libre BLE SDK: required for real-time glucose data ingestion. SDK availability to be confirmed by ADC Sensor Engineering.</w:t>
      </w:r>
      <w:r>
        <w:t xml:space="preserve"> </w:t>
      </w:r>
      <w:r>
        <w:t xml:space="preserve">- EHR FHIR R4 endpoints: required for clinician workflow integration. Epic and Cerner sandbox access needed for development.</w:t>
      </w:r>
    </w:p>
    <w:p>
      <w:pPr>
        <w:pStyle w:val="BodyText"/>
      </w:pPr>
      <w:r>
        <w:rPr>
          <w:i/>
          <w:iCs/>
        </w:rPr>
        <w:t xml:space="preserve">Infrastructure:</w:t>
      </w:r>
      <w:r>
        <w:t xml:space="preserve"> </w:t>
      </w:r>
      <w:r>
        <w:t xml:space="preserve">- Multi-region cloud deployment (US, EU) with data residency enforcement. Requires PHI-capable infrastructure with BAA. Owner:</w:t>
      </w:r>
      <w:r>
        <w:t xml:space="preserve"> </w:t>
      </w:r>
      <w:r>
        <w:rPr>
          <w:rStyle w:val="VerbatimChar"/>
        </w:rPr>
        <w:t xml:space="preserve">[TBD — BTS Cloud Infrastructure]</w:t>
      </w:r>
      <w:r>
        <w:t xml:space="preserve">, timeline:</w:t>
      </w:r>
      <w:r>
        <w:t xml:space="preserve"> </w:t>
      </w:r>
      <w:r>
        <w:rPr>
          <w:rStyle w:val="VerbatimChar"/>
        </w:rPr>
        <w:t xml:space="preserve">[TBD]</w:t>
      </w:r>
      <w:r>
        <w:t xml:space="preserve"> </w:t>
      </w:r>
      <w:r>
        <w:t xml:space="preserve">- SaMD-isolated compute environment for Correlation Engine with full audit trail and version pinning per IEC 62304.</w:t>
      </w:r>
    </w:p>
    <w:bookmarkEnd w:id="18"/>
    <w:bookmarkStart w:id="19" w:name="tradeoffs-accepted"/>
    <w:p>
      <w:pPr>
        <w:pStyle w:val="Heading3"/>
      </w:pPr>
      <w:r>
        <w:t xml:space="preserve">Tradeoffs Accepted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 is Libre-only</w:t>
      </w:r>
      <w:r>
        <w:t xml:space="preserve"> </w:t>
      </w:r>
      <w:r>
        <w:t xml:space="preserve">— excludes Dexcom and Medtronic users (~40% of CGM market), but avoids multi-protocol BLE complexity and gets to market faster with Abbott’s own hardware.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Correlation Engine starts rule-based, not ML</w:t>
      </w:r>
      <w:r>
        <w:t xml:space="preserve"> </w:t>
      </w:r>
      <w:r>
        <w:t xml:space="preserve">— initial correlation uses time-window alignment and glycemic index lookup rather than personalized ML models. Less accurate for individual variation, but faster to validate for SaMD submission. ML personalization is Phase 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offline food logging in Phase 1</w:t>
      </w:r>
      <w:r>
        <w:t xml:space="preserve"> </w:t>
      </w:r>
      <w:r>
        <w:t xml:space="preserve">— food entries require network connectivity to hit the food database API. Users in low-connectivity environments will have degraded experience. Offline-first architecture adds 3+ months.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section-3-success-measurement"/>
    <w:p>
      <w:pPr>
        <w:pStyle w:val="Heading2"/>
      </w:pPr>
      <w:r>
        <w:t xml:space="preserve">Section 3: Success Measurement</w:t>
      </w:r>
    </w:p>
    <w:bookmarkStart w:id="21" w:name="primary-metric"/>
    <w:p>
      <w:pPr>
        <w:pStyle w:val="Heading3"/>
      </w:pPr>
      <w:r>
        <w:t xml:space="preserve">Primary Metric</w:t>
      </w:r>
    </w:p>
    <w:p>
      <w:pPr>
        <w:pStyle w:val="FirstParagraph"/>
      </w:pPr>
      <w:r>
        <w:rPr>
          <w:b/>
          <w:bCs/>
        </w:rPr>
        <w:t xml:space="preserve">30-day food logging retention rate</w:t>
      </w:r>
      <w:r>
        <w:t xml:space="preserve"> </w:t>
      </w:r>
      <w:r>
        <w:t xml:space="preserve">— % of patients who log food at least 3x/week at day 30 post-activation.</w:t>
      </w:r>
    </w:p>
    <w:p>
      <w:pPr>
        <w:pStyle w:val="BodyText"/>
      </w:pPr>
      <w:r>
        <w:t xml:space="preserve">Target: 60% retention at day 30 vs. </w:t>
      </w:r>
      <w:r>
        <w:rPr>
          <w:rStyle w:val="VerbatimChar"/>
        </w:rPr>
        <w:t xml:space="preserve">[TBD — baseline required before PRD approval]</w:t>
      </w:r>
      <w:r>
        <w:t xml:space="preserve">.</w:t>
      </w:r>
    </w:p>
    <w:p>
      <w:pPr>
        <w:pStyle w:val="BlockText"/>
      </w:pPr>
      <w:r>
        <w:t xml:space="preserve">Industry benchmark: MySugr reports ~30% 30-day food logging retention for manual entry. Our hypothesis is that AI-assisted logging (&lt;30s) doubles this. If no internal baseline exists, use 30% as proxy baseline. Target: 60% = 2x improvement.</w:t>
      </w:r>
    </w:p>
    <w:bookmarkEnd w:id="21"/>
    <w:bookmarkStart w:id="22" w:name="guardrail-metrics"/>
    <w:p>
      <w:pPr>
        <w:pStyle w:val="Heading3"/>
      </w:pPr>
      <w:r>
        <w:t xml:space="preserve">Guardrail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Acceptable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 data transmission reliability (% readings successfully received)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 — Libre BLE SDK benchmark]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logging time per entry (median seconds)</w:t>
            </w:r>
          </w:p>
        </w:tc>
        <w:tc>
          <w:tcPr/>
          <w:p>
            <w:pPr>
              <w:pStyle w:val="Compact"/>
            </w:pPr>
            <w:r>
              <w:t xml:space="preserve">N/A (new feature)</w:t>
            </w:r>
          </w:p>
        </w:tc>
        <w:tc>
          <w:tcPr/>
          <w:p>
            <w:pPr>
              <w:pStyle w:val="Compact"/>
            </w:pPr>
            <w:r>
              <w:t xml:space="preserve">&lt; 45 seconds (target: &lt; 30s)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Engine accuracy (% of food-glucose correlations rated</w:t>
            </w:r>
            <w:r>
              <w:t xml:space="preserve"> </w:t>
            </w:r>
            <w:r>
              <w:t xml:space="preserve">“helpful”</w:t>
            </w:r>
            <w:r>
              <w:t xml:space="preserve"> </w:t>
            </w:r>
            <w:r>
              <w:t xml:space="preserve">by patients)</w:t>
            </w:r>
          </w:p>
        </w:tc>
        <w:tc>
          <w:tcPr/>
          <w:p>
            <w:pPr>
              <w:pStyle w:val="Compact"/>
            </w:pPr>
            <w:r>
              <w:t xml:space="preserve">N/A (new feature)</w:t>
            </w:r>
          </w:p>
        </w:tc>
        <w:tc>
          <w:tcPr/>
          <w:p>
            <w:pPr>
              <w:pStyle w:val="Compact"/>
            </w:pPr>
            <w:r>
              <w:t xml:space="preserve">70% positive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crash rate (crashes per 1000 sessions)</w:t>
            </w:r>
          </w:p>
        </w:tc>
        <w:tc>
          <w:tcPr/>
          <w:p>
            <w:pPr>
              <w:pStyle w:val="Compact"/>
            </w:pPr>
            <w:r>
              <w:t xml:space="preserve">N/A (new app)</w:t>
            </w:r>
          </w:p>
        </w:tc>
        <w:tc>
          <w:tcPr/>
          <w:p>
            <w:pPr>
              <w:pStyle w:val="Compact"/>
            </w:pPr>
            <w:r>
              <w:t xml:space="preserve">&lt; 5 per 1000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 portal monthly active rate (% of onboarded clinicians using portal 1x/month)</w:t>
            </w:r>
          </w:p>
        </w:tc>
        <w:tc>
          <w:tcPr/>
          <w:p>
            <w:pPr>
              <w:pStyle w:val="Compact"/>
            </w:pPr>
            <w:r>
              <w:t xml:space="preserve">N/A (new feature)</w:t>
            </w:r>
          </w:p>
        </w:tc>
        <w:tc>
          <w:tcPr/>
          <w:p>
            <w:pPr>
              <w:pStyle w:val="Compact"/>
            </w:pPr>
            <w:r>
              <w:t xml:space="preserve">40% monthly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data incident 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— any PHI incident is a P0</w:t>
            </w:r>
          </w:p>
        </w:tc>
      </w:tr>
    </w:tbl>
    <w:bookmarkEnd w:id="22"/>
    <w:bookmarkStart w:id="23" w:name="kill-criteria"/>
    <w:p>
      <w:pPr>
        <w:pStyle w:val="Heading3"/>
      </w:pPr>
      <w:r>
        <w:t xml:space="preserve">Kill Criteria</w:t>
      </w:r>
    </w:p>
    <w:p>
      <w:pPr>
        <w:pStyle w:val="FirstParagraph"/>
      </w:pPr>
      <w:r>
        <w:t xml:space="preserve">Roll back the Correlation Engine if:</w:t>
      </w:r>
      <w:r>
        <w:t xml:space="preserve"> </w:t>
      </w:r>
      <w:r>
        <w:t xml:space="preserve">- Correlation accuracy (patient-rated</w:t>
      </w:r>
      <w:r>
        <w:t xml:space="preserve"> </w:t>
      </w:r>
      <w:r>
        <w:t xml:space="preserve">“helpful”</w:t>
      </w:r>
      <w:r>
        <w:t xml:space="preserve">) drops below 50% over any 7-day window, OR</w:t>
      </w:r>
      <w:r>
        <w:t xml:space="preserve"> </w:t>
      </w:r>
      <w:r>
        <w:t xml:space="preserve">- A PHI data exposure incident occurs (immediate kill, no threshold), OR</w:t>
      </w:r>
      <w:r>
        <w:t xml:space="preserve"> </w:t>
      </w:r>
      <w:r>
        <w:t xml:space="preserve">- Glucose data transmission reliability drops below 95% for &gt;24 hours (indicates BLE pipeline failure), OR</w:t>
      </w:r>
      <w:r>
        <w:t xml:space="preserve"> </w:t>
      </w:r>
      <w:r>
        <w:t xml:space="preserve">- App crash rate exceeds 15 per 1000 sessions for &gt;48 hours</w:t>
      </w:r>
    </w:p>
    <w:p>
      <w:pPr>
        <w:pStyle w:val="BodyText"/>
      </w:pPr>
      <w:r>
        <w:t xml:space="preserve">Kill switch owner:</w:t>
      </w:r>
      <w:r>
        <w:t xml:space="preserve"> </w:t>
      </w:r>
      <w:r>
        <w:rPr>
          <w:rStyle w:val="VerbatimChar"/>
        </w:rPr>
        <w:t xml:space="preserve">[TBD — Engineering Lead]</w:t>
      </w:r>
      <w:r>
        <w:t xml:space="preserve"> </w:t>
      </w:r>
      <w:r>
        <w:t xml:space="preserve">Mechanism: Feature flags per component (Correlation Engine, Smart Food Logger, Alert Engine can be independently disabled)</w:t>
      </w:r>
      <w:r>
        <w:t xml:space="preserve"> </w:t>
      </w:r>
      <w:r>
        <w:t xml:space="preserve">Speed: &lt; 5 minutes via configuration change</w:t>
      </w:r>
    </w:p>
    <w:bookmarkEnd w:id="23"/>
    <w:bookmarkStart w:id="24" w:name="graduate-when"/>
    <w:p>
      <w:pPr>
        <w:pStyle w:val="Heading3"/>
      </w:pPr>
      <w:r>
        <w:t xml:space="preserve">Graduate When</w:t>
      </w:r>
    </w:p>
    <w:p>
      <w:pPr>
        <w:pStyle w:val="FirstParagraph"/>
      </w:pPr>
      <w:r>
        <w:t xml:space="preserve">Move from limited pilot to full rollout when:</w:t>
      </w:r>
      <w:r>
        <w:t xml:space="preserve"> </w:t>
      </w:r>
      <w:r>
        <w:t xml:space="preserve">- 30-day food logging retention &gt;= 55% (slightly below target to allow for expansion effects)</w:t>
      </w:r>
      <w:r>
        <w:t xml:space="preserve"> </w:t>
      </w:r>
      <w:r>
        <w:t xml:space="preserve">- Correlation accuracy &gt;= 70% patient-rated</w:t>
      </w:r>
      <w:r>
        <w:t xml:space="preserve"> </w:t>
      </w:r>
      <w:r>
        <w:t xml:space="preserve">“helpful”</w:t>
      </w:r>
      <w:r>
        <w:t xml:space="preserve"> </w:t>
      </w:r>
      <w:r>
        <w:t xml:space="preserve">- Zero PHI incidents during pilot</w:t>
      </w:r>
      <w:r>
        <w:t xml:space="preserve"> </w:t>
      </w:r>
      <w:r>
        <w:t xml:space="preserve">- Clinician portal monthly active &gt;= 35%</w:t>
      </w:r>
      <w:r>
        <w:t xml:space="preserve"> </w:t>
      </w:r>
      <w:r>
        <w:t xml:space="preserve">- FDA 510(k) clearance received for Correlation Engine (US market)</w:t>
      </w:r>
      <w:r>
        <w:t xml:space="preserve"> </w:t>
      </w:r>
      <w:r>
        <w:t xml:space="preserve">- EU MDR conformity assessment complete (EU market)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ection-4-rollout-plan"/>
    <w:p>
      <w:pPr>
        <w:pStyle w:val="Heading2"/>
      </w:pPr>
      <w:r>
        <w:t xml:space="preserve">Section 4: Rollout Plan</w:t>
      </w:r>
    </w:p>
    <w:bookmarkStart w:id="26" w:name="timeline"/>
    <w:p>
      <w:pPr>
        <w:pStyle w:val="Heading3"/>
      </w:pPr>
      <w:r>
        <w:t xml:space="preserve">Timeline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Q3 2026:</w:t>
      </w:r>
      <w:r>
        <w:t xml:space="preserve"> </w:t>
      </w:r>
      <w:r>
        <w:t xml:space="preserve">US limited pilot — 500 patients, 20 endocrinology practices (FDA pre-submission in parallel)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Q4 2026:</w:t>
      </w:r>
      <w:r>
        <w:t xml:space="preserve"> </w:t>
      </w:r>
      <w:r>
        <w:t xml:space="preserve">US expanded pilot — 5,000 patients, 100 practices (pending FDA 510(k) clearance for Correlation Engine)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Q1 2027:</w:t>
      </w:r>
      <w:r>
        <w:t xml:space="preserve"> </w:t>
      </w:r>
      <w:r>
        <w:t xml:space="preserve">US full rollout + EU limited pilot (pending EU MDR conformity)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Q2 2027:</w:t>
      </w:r>
      <w:r>
        <w:t xml:space="preserve"> </w:t>
      </w:r>
      <w:r>
        <w:t xml:space="preserve">EU expanded rollout, APAC market assessment begins</w:t>
      </w:r>
    </w:p>
    <w:bookmarkEnd w:id="26"/>
    <w:bookmarkStart w:id="27" w:name="phasing-strategy"/>
    <w:p>
      <w:pPr>
        <w:pStyle w:val="Heading3"/>
      </w:pPr>
      <w:r>
        <w:t xml:space="preserve">Phasing Strategy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1 (US Pilot):</w:t>
      </w:r>
      <w:r>
        <w:t xml:space="preserve"> </w:t>
      </w:r>
      <w:r>
        <w:t xml:space="preserve">500 FreeStyle Libre 3 patients at 20 partner endocrinology practices. English only. All 5 actor roles active. Correlation Engine in</w:t>
      </w:r>
      <w:r>
        <w:t xml:space="preserve"> </w:t>
      </w:r>
      <w:r>
        <w:t xml:space="preserve">“display only”</w:t>
      </w:r>
      <w:r>
        <w:t xml:space="preserve"> </w:t>
      </w:r>
      <w:r>
        <w:t xml:space="preserve">mode (shows correlations but does not make dietary suggestions) pending FDA clearance.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2 (US Expansion):</w:t>
      </w:r>
      <w:r>
        <w:t xml:space="preserve"> </w:t>
      </w:r>
      <w:r>
        <w:t xml:space="preserve">5,000 patients, 100 practices. Add Spanish language support. Correlation Engine fully active post-FDA 510(k). Add EHR integration with Epic (top 3 pilot sites).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3 (Full US + EU Pilot):</w:t>
      </w:r>
      <w:r>
        <w:t xml:space="preserve"> </w:t>
      </w:r>
      <w:r>
        <w:t xml:space="preserve">US general availability via App Store/Play Store for all FreeStyle Libre 2/3 users. EU pilot: 1,000 patients, 30 practices in Germany and UK. German, French, English.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4 (Global):</w:t>
      </w:r>
      <w:r>
        <w:t xml:space="preserve"> </w:t>
      </w:r>
      <w:r>
        <w:t xml:space="preserve">EU general availability. APAC market entry assessment for Japan and Australia.</w:t>
      </w:r>
    </w:p>
    <w:bookmarkEnd w:id="27"/>
    <w:bookmarkStart w:id="28" w:name="gates-for-expansion"/>
    <w:p>
      <w:pPr>
        <w:pStyle w:val="Heading3"/>
      </w:pPr>
      <w:r>
        <w:t xml:space="preserve">Gates for Expansion</w:t>
      </w:r>
    </w:p>
    <w:p>
      <w:pPr>
        <w:pStyle w:val="FirstParagraph"/>
      </w:pPr>
      <w:r>
        <w:t xml:space="preserve">Stage 1 → Stage 2:</w:t>
      </w:r>
      <w:r>
        <w:t xml:space="preserve"> </w:t>
      </w:r>
      <w:r>
        <w:t xml:space="preserve">- Primary metric (30-day retention) &gt;= 55%</w:t>
      </w:r>
      <w:r>
        <w:t xml:space="preserve"> </w:t>
      </w:r>
      <w:r>
        <w:t xml:space="preserve">- Zero PHI incidents</w:t>
      </w:r>
      <w:r>
        <w:t xml:space="preserve"> </w:t>
      </w:r>
      <w:r>
        <w:t xml:space="preserve">- BLE data reliability &gt;= 98%</w:t>
      </w:r>
      <w:r>
        <w:t xml:space="preserve"> </w:t>
      </w:r>
      <w:r>
        <w:t xml:space="preserve">- No P0/P1 incidents open for &gt;48 hours</w:t>
      </w:r>
      <w:r>
        <w:t xml:space="preserve"> </w:t>
      </w:r>
      <w:r>
        <w:t xml:space="preserve">- FDA 510(k) submission accepted (not necessarily cleared — Stage 2 can proceed with</w:t>
      </w:r>
      <w:r>
        <w:t xml:space="preserve"> </w:t>
      </w:r>
      <w:r>
        <w:t xml:space="preserve">“display only”</w:t>
      </w:r>
      <w:r>
        <w:t xml:space="preserve"> </w:t>
      </w:r>
      <w:r>
        <w:t xml:space="preserve">correlation)</w:t>
      </w:r>
    </w:p>
    <w:p>
      <w:pPr>
        <w:pStyle w:val="BodyText"/>
      </w:pPr>
      <w:r>
        <w:t xml:space="preserve">Stage 2 → Stage 3:</w:t>
      </w:r>
      <w:r>
        <w:t xml:space="preserve"> </w:t>
      </w:r>
      <w:r>
        <w:t xml:space="preserve">- FDA 510(k) clearance received for Correlation Engine</w:t>
      </w:r>
      <w:r>
        <w:t xml:space="preserve"> </w:t>
      </w:r>
      <w:r>
        <w:t xml:space="preserve">- Primary metric holds at &gt;= 55% at 5,000 patient scale</w:t>
      </w:r>
      <w:r>
        <w:t xml:space="preserve"> </w:t>
      </w:r>
      <w:r>
        <w:t xml:space="preserve">- Clinician portal monthly active &gt;= 35%</w:t>
      </w:r>
      <w:r>
        <w:t xml:space="preserve"> </w:t>
      </w:r>
      <w:r>
        <w:t xml:space="preserve">- EHR integration validated at 3+ Epic sites</w:t>
      </w:r>
      <w:r>
        <w:t xml:space="preserve"> </w:t>
      </w:r>
      <w:r>
        <w:t xml:space="preserve">- EU MDR technical file submission complete</w:t>
      </w:r>
    </w:p>
    <w:bookmarkEnd w:id="28"/>
    <w:bookmarkStart w:id="29" w:name="kill-switch"/>
    <w:p>
      <w:pPr>
        <w:pStyle w:val="Heading3"/>
      </w:pPr>
      <w:r>
        <w:t xml:space="preserve">Kill Switch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Feature flags per component — Correlation Engine, Smart Food Logger, Alert Engine, EHR Integration each independently toggleable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[TBD — Engineering Lead]</w:t>
      </w:r>
      <w:r>
        <w:t xml:space="preserve"> </w:t>
      </w:r>
      <w:r>
        <w:t xml:space="preserve">can trigger;</w:t>
      </w:r>
      <w:r>
        <w:t xml:space="preserve"> </w:t>
      </w:r>
      <w:r>
        <w:rPr>
          <w:rStyle w:val="VerbatimChar"/>
        </w:rPr>
        <w:t xml:space="preserve">[TBD — VP ADC Digital]</w:t>
      </w:r>
      <w:r>
        <w:t xml:space="preserve"> </w:t>
      </w:r>
      <w:r>
        <w:t xml:space="preserve">approves for full platform kill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Speed:</w:t>
      </w:r>
      <w:r>
        <w:t xml:space="preserve"> </w:t>
      </w:r>
      <w:r>
        <w:t xml:space="preserve">&lt; 5 minutes for individual component; &lt; 15 minutes for full platform disable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ection-5-risk-management"/>
    <w:p>
      <w:pPr>
        <w:pStyle w:val="Heading2"/>
      </w:pPr>
      <w:r>
        <w:t xml:space="preserve">Section 5: Risk Management</w:t>
      </w:r>
    </w:p>
    <w:bookmarkStart w:id="31" w:name="top-risks"/>
    <w:p>
      <w:pPr>
        <w:pStyle w:val="Heading3"/>
      </w:pPr>
      <w:r>
        <w:t xml:space="preserve">Top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 510(k) review takes longer than projected (12-18 months vs. planned 9 months), delaying Correlation Engine activation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Submit pre-submission package in Q2 2026. Launch Phase 1 with</w:t>
            </w:r>
            <w:r>
              <w:t xml:space="preserve"> </w:t>
            </w:r>
            <w:r>
              <w:t xml:space="preserve">“display only”</w:t>
            </w:r>
            <w:r>
              <w:t xml:space="preserve"> </w:t>
            </w:r>
            <w:r>
              <w:t xml:space="preserve">correlation (informational, not SaMD-classified). Engage FDA early via Pre-Sub meeting.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data transmission gaps between Libre sensor and mobile app cause missing glucose readings, breaking correlation accuracy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Implement gap detection and interpolation in Data Validation Engine. Alert patient when &gt;15 min gap detected. Design correlation algorithm to handle sparse data gracefully.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image recognition accuracy insufficient for regional cuisines (non-US food items)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Launch photo recognition as US-only in Phase 1 using licensed US food image dataset. EU Phase 1 uses barcode + manual + favorites only. Collect EU food images during pilot for Phase 2 ML training.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 adoption stalls — clinicians don’t check portal between appointments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Embed GlucoSense alerts into existing EHR workflows (Epic In-Basket, Cerner Message Center) so clinicians don’t need a separate portal login. Provide weekly email digest as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data breach during multi-region deployment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Encrypt all PHI at rest (AES-256) and in transit (TLS 1.3). Data stays in-region. Immutable audit trail on all PHI access. Penetration testing before each rollout stage. Zero-tolerance kill criterion.</w:t>
            </w:r>
          </w:p>
        </w:tc>
      </w:tr>
    </w:tbl>
    <w:bookmarkEnd w:id="31"/>
    <w:bookmarkStart w:id="32" w:name="detection"/>
    <w:p>
      <w:pPr>
        <w:pStyle w:val="Heading3"/>
      </w:pPr>
      <w:r>
        <w:t xml:space="preserve">Detection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transmission gap rate</w:t>
            </w:r>
          </w:p>
        </w:tc>
        <w:tc>
          <w:tcPr/>
          <w:p>
            <w:pPr>
              <w:pStyle w:val="Compact"/>
            </w:pPr>
            <w:r>
              <w:t xml:space="preserve">&gt; 2% of readings missing per patient per day</w:t>
            </w:r>
          </w:p>
        </w:tc>
        <w:tc>
          <w:tcPr/>
          <w:p>
            <w:pPr>
              <w:pStyle w:val="Compact"/>
            </w:pPr>
            <w:r>
              <w:t xml:space="preserve">Real-time dashboard in Observability Stack; automated alert to on-call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accuracy drop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  <w:r>
              <w:t xml:space="preserve"> </w:t>
            </w:r>
            <w:r>
              <w:t xml:space="preserve">“helpful”</w:t>
            </w:r>
            <w:r>
              <w:t xml:space="preserve"> </w:t>
            </w:r>
            <w:r>
              <w:t xml:space="preserve">rating &lt; 60% (7-day rolling)</w:t>
            </w:r>
          </w:p>
        </w:tc>
        <w:tc>
          <w:tcPr/>
          <w:p>
            <w:pPr>
              <w:pStyle w:val="Compact"/>
            </w:pPr>
            <w:r>
              <w:t xml:space="preserve">In-app feedback widget; weekly analytics review by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logging abandonment spike</w:t>
            </w:r>
          </w:p>
        </w:tc>
        <w:tc>
          <w:tcPr/>
          <w:p>
            <w:pPr>
              <w:pStyle w:val="Compact"/>
            </w:pPr>
            <w:r>
              <w:t xml:space="preserve">7-day active logging rate drops &gt; 10 percentage points week-over-week</w:t>
            </w:r>
          </w:p>
        </w:tc>
        <w:tc>
          <w:tcPr/>
          <w:p>
            <w:pPr>
              <w:pStyle w:val="Compact"/>
            </w:pPr>
            <w:r>
              <w:t xml:space="preserve">Engagement analytics dashboard; automated Slack alert to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access anomaly</w:t>
            </w:r>
          </w:p>
        </w:tc>
        <w:tc>
          <w:tcPr/>
          <w:p>
            <w:pPr>
              <w:pStyle w:val="Compact"/>
            </w:pPr>
            <w:r>
              <w:t xml:space="preserve">Any access pattern flagged by DLP or outside RBAC scope</w:t>
            </w:r>
          </w:p>
        </w:tc>
        <w:tc>
          <w:tcPr/>
          <w:p>
            <w:pPr>
              <w:pStyle w:val="Compact"/>
            </w:pPr>
            <w:r>
              <w:t xml:space="preserve">Audit Service real-time monitoring; automated page to Security on-call</w:t>
            </w:r>
          </w:p>
        </w:tc>
      </w:tr>
    </w:tbl>
    <w:bookmarkEnd w:id="32"/>
    <w:bookmarkStart w:id="33" w:name="fallback-kill-switch"/>
    <w:p>
      <w:pPr>
        <w:pStyle w:val="Heading3"/>
      </w:pPr>
      <w:r>
        <w:t xml:space="preserve">Fallback &amp; Kill Switch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If Correlation Engine is disabled, patients see raw glucose chart + food log timeline without correlation overlays. App remains functional as a glucose viewer + food diary. Clinician portal shows glucose trends without dietary insights.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Kill switch:</w:t>
      </w:r>
      <w:r>
        <w:t xml:space="preserve"> </w:t>
      </w:r>
      <w:r>
        <w:rPr>
          <w:rStyle w:val="VerbatimChar"/>
        </w:rPr>
        <w:t xml:space="preserve">[TBD — Engineering Lead]</w:t>
      </w:r>
      <w:r>
        <w:t xml:space="preserve"> </w:t>
      </w:r>
      <w:r>
        <w:t xml:space="preserve">triggers via feature flag dashboard. Individual components (Correlation, Food Logger, Alerts) can be killed independently. Full platform kill requires</w:t>
      </w:r>
      <w:r>
        <w:t xml:space="preserve"> </w:t>
      </w:r>
      <w:r>
        <w:rPr>
          <w:rStyle w:val="VerbatimChar"/>
        </w:rPr>
        <w:t xml:space="preserve">[TBD — VP ADC Digital]</w:t>
      </w:r>
      <w:r>
        <w:t xml:space="preserve"> </w:t>
      </w:r>
      <w:r>
        <w:t xml:space="preserve">approval.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ection-6-ownership-action"/>
    <w:p>
      <w:pPr>
        <w:pStyle w:val="Heading2"/>
      </w:pPr>
      <w:r>
        <w:t xml:space="preserve">Section 6: Ownership + Action</w:t>
      </w:r>
    </w:p>
    <w:bookmarkStart w:id="35" w:name="primary-owner"/>
    <w:p>
      <w:pPr>
        <w:pStyle w:val="Heading3"/>
      </w:pPr>
      <w:r>
        <w:t xml:space="preserve">Primary Owner</w:t>
      </w:r>
    </w:p>
    <w:p>
      <w:pPr>
        <w:pStyle w:val="FirstParagraph"/>
      </w:pPr>
      <w:r>
        <w:rPr>
          <w:rStyle w:val="VerbatimChar"/>
        </w:rPr>
        <w:t xml:space="preserve">[TBD — Product Manager, ADC Digital]</w:t>
      </w:r>
      <w:r>
        <w:t xml:space="preserve"> </w:t>
      </w:r>
      <w:r>
        <w:t xml:space="preserve">— single accountable individual for this PRD and feature delivery.</w:t>
      </w:r>
    </w:p>
    <w:bookmarkEnd w:id="35"/>
    <w:bookmarkStart w:id="36" w:name="stakeholder-sign-off"/>
    <w:p>
      <w:pPr>
        <w:pStyle w:val="Heading3"/>
      </w:pPr>
      <w:r>
        <w:t xml:space="preserve">Stakeholder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Decision Needed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Product (ADC Digital)</w:t>
            </w:r>
          </w:p>
        </w:tc>
        <w:tc>
          <w:tcPr/>
          <w:p>
            <w:pPr>
              <w:pStyle w:val="Compact"/>
            </w:pPr>
            <w:r>
              <w:t xml:space="preserve">PRD approval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Engineering (ADC Platform)</w:t>
            </w:r>
          </w:p>
        </w:tc>
        <w:tc>
          <w:tcPr/>
          <w:p>
            <w:pPr>
              <w:pStyle w:val="Compact"/>
            </w:pPr>
            <w:r>
              <w:t xml:space="preserve">Feasibility sign-off — BLE SDK, multi-region infra, SaMD isolation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Regulatory Affairs</w:t>
            </w:r>
          </w:p>
        </w:tc>
        <w:tc>
          <w:tcPr/>
          <w:p>
            <w:pPr>
              <w:pStyle w:val="Compact"/>
            </w:pPr>
            <w:r>
              <w:t xml:space="preserve">FDA 510(k) strategy and SaMD classification confirmation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Regulatory Affairs (EU)</w:t>
            </w:r>
          </w:p>
        </w:tc>
        <w:tc>
          <w:tcPr/>
          <w:p>
            <w:pPr>
              <w:pStyle w:val="Compact"/>
            </w:pPr>
            <w:r>
              <w:t xml:space="preserve">EU MDR conformity pathway confirmation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Legal / Privacy</w:t>
            </w:r>
          </w:p>
        </w:tc>
        <w:tc>
          <w:tcPr/>
          <w:p>
            <w:pPr>
              <w:pStyle w:val="Compact"/>
            </w:pPr>
            <w:r>
              <w:t xml:space="preserve">HIPAA and GDPR compliance review, BAA status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Clinical Affairs</w:t>
            </w:r>
          </w:p>
        </w:tc>
        <w:tc>
          <w:tcPr/>
          <w:p>
            <w:pPr>
              <w:pStyle w:val="Compact"/>
            </w:pPr>
            <w:r>
              <w:t xml:space="preserve">Clinical claim review — correlation accuracy claims, labeling language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ADC Sensor Engineering</w:t>
            </w:r>
          </w:p>
        </w:tc>
        <w:tc>
          <w:tcPr/>
          <w:p>
            <w:pPr>
              <w:pStyle w:val="Compact"/>
            </w:pPr>
            <w:r>
              <w:t xml:space="preserve">BLE SDK access and support commitment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Data Science</w:t>
            </w:r>
          </w:p>
        </w:tc>
        <w:tc>
          <w:tcPr/>
          <w:p>
            <w:pPr>
              <w:pStyle w:val="Compact"/>
            </w:pPr>
            <w:r>
              <w:t xml:space="preserve">Food recognition ML feasibility and training data assessment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IEC 62304 compliance plan for SaMD components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36"/>
    <w:bookmarkStart w:id="37" w:name="decision-points"/>
    <w:p>
      <w:pPr>
        <w:pStyle w:val="Heading3"/>
      </w:pPr>
      <w:r>
        <w:t xml:space="preserve">Decision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 / Milestone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2026 — FDA Pre-Sub response</w:t>
            </w:r>
          </w:p>
        </w:tc>
        <w:tc>
          <w:tcPr/>
          <w:p>
            <w:pPr>
              <w:pStyle w:val="Compact"/>
            </w:pPr>
            <w:r>
              <w:t xml:space="preserve">Confirm SaMD Class II classification for Correlation Engine. If Class III, re-scope or pivot.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 — Regulatory Affairs Lead]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2026 — Pilot month 1 review</w:t>
            </w:r>
          </w:p>
        </w:tc>
        <w:tc>
          <w:tcPr/>
          <w:p>
            <w:pPr>
              <w:pStyle w:val="Compact"/>
            </w:pPr>
            <w:r>
              <w:t xml:space="preserve">Evaluate 30-day retention rate. Continue, adjust, or kill pilot.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 — Product Manager]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2026 — Pilot month 3 review</w:t>
            </w:r>
          </w:p>
        </w:tc>
        <w:tc>
          <w:tcPr/>
          <w:p>
            <w:pPr>
              <w:pStyle w:val="Compact"/>
            </w:pPr>
            <w:r>
              <w:t xml:space="preserve">Gate decision: expand to Stage 2 or iterate on Stage 1.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 — VP ADC Digital]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2027 — US full rollout decision</w:t>
            </w:r>
          </w:p>
        </w:tc>
        <w:tc>
          <w:tcPr/>
          <w:p>
            <w:pPr>
              <w:pStyle w:val="Compact"/>
            </w:pPr>
            <w:r>
              <w:t xml:space="preserve">FDA clearance + Stage 2 metrics review. Approve US GA.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[TBD — SVP ADC]</w:t>
            </w:r>
          </w:p>
        </w:tc>
      </w:tr>
    </w:tbl>
    <w:bookmarkEnd w:id="37"/>
    <w:bookmarkStart w:id="38" w:name="fail---action"/>
    <w:p>
      <w:pPr>
        <w:pStyle w:val="Heading3"/>
      </w:pPr>
      <w:r>
        <w:t xml:space="preserve">Fail -&gt; Action</w:t>
      </w:r>
    </w:p>
    <w:p>
      <w:pPr>
        <w:pStyle w:val="FirstParagraph"/>
      </w:pPr>
      <w:r>
        <w:t xml:space="preserve">If 30-day food logging retention is below 45% at the Stage 1 month-3 review (</w:t>
      </w:r>
      <w:r>
        <w:rPr>
          <w:rStyle w:val="VerbatimChar"/>
        </w:rPr>
        <w:t xml:space="preserve">[TBD — Q4 2026 date]</w:t>
      </w:r>
      <w:r>
        <w:t xml:space="preserve">):</w:t>
      </w:r>
      <w:r>
        <w:t xml:space="preserve"> </w:t>
      </w:r>
      <w:r>
        <w:t xml:space="preserve">- Action: Product and Data Science conduct a logging friction audit — analyze where in the food logging flow patients drop off, run 20 patient interviews, and present findings + revised approach within 30 days.</w:t>
      </w:r>
      <w:r>
        <w:t xml:space="preserve"> </w:t>
      </w:r>
      <w:r>
        <w:t xml:space="preserve">- Owner:</w:t>
      </w:r>
      <w:r>
        <w:t xml:space="preserve"> </w:t>
      </w:r>
      <w:r>
        <w:rPr>
          <w:rStyle w:val="VerbatimChar"/>
        </w:rPr>
        <w:t xml:space="preserve">[TBD — Product Manager, ADC Digital]</w:t>
      </w:r>
      <w:r>
        <w:t xml:space="preserve"> </w:t>
      </w:r>
      <w:r>
        <w:t xml:space="preserve">- Escalation: If revised approach doesn’t reach 50% retention in a second 30-day test, escalate to</w:t>
      </w:r>
      <w:r>
        <w:t xml:space="preserve"> </w:t>
      </w:r>
      <w:r>
        <w:rPr>
          <w:rStyle w:val="VerbatimChar"/>
        </w:rPr>
        <w:t xml:space="preserve">[TBD — VP ADC Digital]</w:t>
      </w:r>
      <w:r>
        <w:t xml:space="preserve"> </w:t>
      </w:r>
      <w:r>
        <w:t xml:space="preserve">for continue/kill decision.</w:t>
      </w:r>
    </w:p>
    <w:p>
      <w:pPr>
        <w:pStyle w:val="BlockText"/>
      </w:pPr>
      <w:r>
        <w:t xml:space="preserve">Note: 45% is the Fail -&gt; Action threshold. Kill Criteria (Section 3) triggers at different thresholds for operational issues (correlation accuracy &lt; 50%, PHI incidents, crash rates). These are separate decision paths.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section-7-ai-specific-additions"/>
    <w:p>
      <w:pPr>
        <w:pStyle w:val="Heading2"/>
      </w:pPr>
      <w:r>
        <w:t xml:space="preserve">Section 7: AI-Specific Additions</w:t>
      </w:r>
    </w:p>
    <w:bookmarkStart w:id="40" w:name="primary-tasks"/>
    <w:p>
      <w:pPr>
        <w:pStyle w:val="Heading3"/>
      </w:pPr>
      <w:r>
        <w:t xml:space="preserve">Primary Tasks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Food image recognition</w:t>
      </w:r>
      <w:r>
        <w:t xml:space="preserve"> </w:t>
      </w:r>
      <w:r>
        <w:t xml:space="preserve">— Classify a food photo into one of 2,000+ food items in the regional nutrition database. Return top-3 candidates with confidence scores.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Barcode-to-nutrition lookup</w:t>
      </w:r>
      <w:r>
        <w:t xml:space="preserve"> </w:t>
      </w:r>
      <w:r>
        <w:t xml:space="preserve">— Scan UPC/EAN barcode, match to packaged food database, return nutritional profile (calories, carbs, glycemic index, fiber, protein).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Food-glucose time correlation</w:t>
      </w:r>
      <w:r>
        <w:t xml:space="preserve"> </w:t>
      </w:r>
      <w:r>
        <w:t xml:space="preserve">— Align food log timestamps with glucose time-series data. Detect post-meal glucose response patterns (spike onset, peak, recovery). Classify correlation strength (strong/moderate/weak/none).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Glucose pattern detection</w:t>
      </w:r>
      <w:r>
        <w:t xml:space="preserve"> </w:t>
      </w:r>
      <w:r>
        <w:t xml:space="preserve">— Identify recurring glucose patterns across multiple days (e.g.,</w:t>
      </w:r>
      <w:r>
        <w:t xml:space="preserve"> </w:t>
      </w:r>
      <w:r>
        <w:t xml:space="preserve">“morning coffee always causes a 40mg/dL spike within 45 minutes”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Smart suggestions</w:t>
      </w:r>
      <w:r>
        <w:t xml:space="preserve"> </w:t>
      </w:r>
      <w:r>
        <w:t xml:space="preserve">— Surface frequently logged foods and recent meals for quick-log. Predict likely meal based on time of day and history.</w:t>
      </w:r>
    </w:p>
    <w:bookmarkEnd w:id="40"/>
    <w:bookmarkStart w:id="41" w:name="inputs-available"/>
    <w:p>
      <w:pPr>
        <w:pStyle w:val="Heading3"/>
      </w:pPr>
      <w:r>
        <w:t xml:space="preserve">Inputs Available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Input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image recognition</w:t>
            </w:r>
          </w:p>
        </w:tc>
        <w:tc>
          <w:tcPr/>
          <w:p>
            <w:pPr>
              <w:pStyle w:val="Compact"/>
            </w:pPr>
            <w:r>
              <w:t xml:space="preserve">Camera photo (JPEG, 1-12MP), device GPS (for regional food DB selection), user food history (for ranking)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 lookup</w:t>
            </w:r>
          </w:p>
        </w:tc>
        <w:tc>
          <w:tcPr/>
          <w:p>
            <w:pPr>
              <w:pStyle w:val="Compact"/>
            </w:pPr>
            <w:r>
              <w:t xml:space="preserve">UPC/EAN string (from camera scan), regional food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Food-glucose correlation</w:t>
            </w:r>
          </w:p>
        </w:tc>
        <w:tc>
          <w:tcPr/>
          <w:p>
            <w:pPr>
              <w:pStyle w:val="Compact"/>
            </w:pPr>
            <w:r>
              <w:t xml:space="preserve">Glucose time-series (1-min or 5-min intervals, mg/dL), food log entries (item, timestamp, portion size, nutritional profile), insulin events (if logged)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detection</w:t>
            </w:r>
          </w:p>
        </w:tc>
        <w:tc>
          <w:tcPr/>
          <w:p>
            <w:pPr>
              <w:pStyle w:val="Compact"/>
            </w:pPr>
            <w:r>
              <w:t xml:space="preserve">7-30 day rolling window of glucose + food data per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suggestions</w:t>
            </w:r>
          </w:p>
        </w:tc>
        <w:tc>
          <w:tcPr/>
          <w:p>
            <w:pPr>
              <w:pStyle w:val="Compact"/>
            </w:pPr>
            <w:r>
              <w:t xml:space="preserve">User food log history, time of day, day of week</w:t>
            </w:r>
          </w:p>
        </w:tc>
      </w:tr>
    </w:tbl>
    <w:bookmarkEnd w:id="41"/>
    <w:bookmarkStart w:id="42" w:name="activation-logic"/>
    <w:p>
      <w:pPr>
        <w:pStyle w:val="Heading3"/>
      </w:pPr>
      <w:r>
        <w:t xml:space="preserve">Activation Logic</w:t>
      </w:r>
    </w:p>
    <w:p>
      <w:pPr>
        <w:pStyle w:val="FirstParagraph"/>
      </w:pPr>
      <w:r>
        <w:rPr>
          <w:b/>
          <w:bCs/>
        </w:rPr>
        <w:t xml:space="preserve">When AI activates:</w:t>
      </w:r>
      <w:r>
        <w:t xml:space="preserve"> </w:t>
      </w:r>
      <w:r>
        <w:t xml:space="preserve">- Food image recognition: User taps</w:t>
      </w:r>
      <w:r>
        <w:t xml:space="preserve"> </w:t>
      </w:r>
      <w:r>
        <w:t xml:space="preserve">“Log by Photo”</w:t>
      </w:r>
      <w:r>
        <w:t xml:space="preserve"> </w:t>
      </w:r>
      <w:r>
        <w:t xml:space="preserve">and captures/selects an image</w:t>
      </w:r>
      <w:r>
        <w:t xml:space="preserve"> </w:t>
      </w:r>
      <w:r>
        <w:t xml:space="preserve">- Barcode lookup: User taps</w:t>
      </w:r>
      <w:r>
        <w:t xml:space="preserve"> </w:t>
      </w:r>
      <w:r>
        <w:t xml:space="preserve">“Scan Barcode”</w:t>
      </w:r>
      <w:r>
        <w:t xml:space="preserve"> </w:t>
      </w:r>
      <w:r>
        <w:t xml:space="preserve">and camera detects a UPC/EAN pattern</w:t>
      </w:r>
      <w:r>
        <w:t xml:space="preserve"> </w:t>
      </w:r>
      <w:r>
        <w:t xml:space="preserve">- Food-glucose correlation: Automatically triggered 2 hours after a food log entry when corresponding glucose data is available</w:t>
      </w:r>
      <w:r>
        <w:t xml:space="preserve"> </w:t>
      </w:r>
      <w:r>
        <w:t xml:space="preserve">- Pattern detection: Runs as nightly batch job when patient has &gt;= 7 days of food + glucose data</w:t>
      </w:r>
      <w:r>
        <w:t xml:space="preserve"> </w:t>
      </w:r>
      <w:r>
        <w:t xml:space="preserve">- Smart suggestions: Appears in food logging UI when user opens the log screen</w:t>
      </w:r>
    </w:p>
    <w:p>
      <w:pPr>
        <w:pStyle w:val="BodyText"/>
      </w:pPr>
      <w:r>
        <w:rPr>
          <w:b/>
          <w:bCs/>
        </w:rPr>
        <w:t xml:space="preserve">When system uses non-AI fallback:</w:t>
      </w:r>
      <w:r>
        <w:t xml:space="preserve"> </w:t>
      </w:r>
      <w:r>
        <w:t xml:space="preserve">- Food image recognition fails (confidence &lt; 0.6): Show manual food search with text input</w:t>
      </w:r>
      <w:r>
        <w:t xml:space="preserve"> </w:t>
      </w:r>
      <w:r>
        <w:t xml:space="preserve">- Barcode not found in database: Show manual entry form with barcode number displayed</w:t>
      </w:r>
      <w:r>
        <w:t xml:space="preserve"> </w:t>
      </w:r>
      <w:r>
        <w:t xml:space="preserve">- Insufficient glucose data for correlation (&gt; 30-min gap around meal): Mark correlation as</w:t>
      </w:r>
      <w:r>
        <w:t xml:space="preserve"> </w:t>
      </w:r>
      <w:r>
        <w:t xml:space="preserve">“insufficient data”</w:t>
      </w:r>
      <w:r>
        <w:t xml:space="preserve"> </w:t>
      </w:r>
      <w:r>
        <w:t xml:space="preserve">and show glucose chart without correlation overlay</w:t>
      </w:r>
      <w:r>
        <w:t xml:space="preserve"> </w:t>
      </w:r>
      <w:r>
        <w:t xml:space="preserve">- &lt; 7 days of data: Pattern detection does not run; patient sees</w:t>
      </w:r>
      <w:r>
        <w:t xml:space="preserve"> </w:t>
      </w:r>
      <w:r>
        <w:t xml:space="preserve">“Building your patterns — keep logging!”</w:t>
      </w:r>
      <w:r>
        <w:t xml:space="preserve"> </w:t>
      </w:r>
      <w:r>
        <w:t xml:space="preserve">message</w:t>
      </w:r>
    </w:p>
    <w:p>
      <w:pPr>
        <w:pStyle w:val="BodyText"/>
      </w:pPr>
      <w:r>
        <w:rPr>
          <w:b/>
          <w:bCs/>
        </w:rP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Example</w:t>
            </w:r>
          </w:p>
        </w:tc>
        <w:tc>
          <w:tcPr/>
          <w:p>
            <w:pPr>
              <w:pStyle w:val="Compact"/>
            </w:pPr>
            <w:r>
              <w:t xml:space="preserve">Path Taken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of a bowl of oatmeal with berries</w:t>
            </w:r>
          </w:p>
        </w:tc>
        <w:tc>
          <w:tcPr/>
          <w:p>
            <w:pPr>
              <w:pStyle w:val="Compact"/>
            </w:pPr>
            <w:r>
              <w:t xml:space="preserve">AI (image recognition)</w:t>
            </w:r>
          </w:p>
        </w:tc>
        <w:tc>
          <w:tcPr/>
          <w:p>
            <w:pPr>
              <w:pStyle w:val="Compact"/>
            </w:pPr>
            <w:r>
              <w:t xml:space="preserve">Multi-item meal, requires visual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 scan of Chobani Greek Yogurt</w:t>
            </w:r>
          </w:p>
        </w:tc>
        <w:tc>
          <w:tcPr/>
          <w:p>
            <w:pPr>
              <w:pStyle w:val="Compact"/>
            </w:pPr>
            <w:r>
              <w:t xml:space="preserve">AI (barcode lookup)</w:t>
            </w:r>
          </w:p>
        </w:tc>
        <w:tc>
          <w:tcPr/>
          <w:p>
            <w:pPr>
              <w:pStyle w:val="Compact"/>
            </w:pPr>
            <w:r>
              <w:t xml:space="preserve">Packaged food with UPC, direct database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“black coffee”</w:t>
            </w:r>
            <w:r>
              <w:t xml:space="preserve"> </w:t>
            </w:r>
            <w:r>
              <w:t xml:space="preserve">typed in search</w:t>
            </w:r>
          </w:p>
        </w:tc>
        <w:tc>
          <w:tcPr/>
          <w:p>
            <w:pPr>
              <w:pStyle w:val="Compact"/>
            </w:pPr>
            <w:r>
              <w:t xml:space="preserve">Non-AI (text search)</w:t>
            </w:r>
          </w:p>
        </w:tc>
        <w:tc>
          <w:tcPr/>
          <w:p>
            <w:pPr>
              <w:pStyle w:val="Compact"/>
            </w:pPr>
            <w:r>
              <w:t xml:space="preserve">Simple single-item query, keyword match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logged lunch at 12:30, glucose data available 12:00-15:00</w:t>
            </w:r>
          </w:p>
        </w:tc>
        <w:tc>
          <w:tcPr/>
          <w:p>
            <w:pPr>
              <w:pStyle w:val="Compact"/>
            </w:pPr>
            <w:r>
              <w:t xml:space="preserve">AI (correlation)</w:t>
            </w:r>
          </w:p>
        </w:tc>
        <w:tc>
          <w:tcPr/>
          <w:p>
            <w:pPr>
              <w:pStyle w:val="Compact"/>
            </w:pPr>
            <w:r>
              <w:t xml:space="preserve">Full glucose window available, triggers 2hr post-meal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logged lunch at 12:30, glucose gap from 12:45-13:30</w:t>
            </w:r>
          </w:p>
        </w:tc>
        <w:tc>
          <w:tcPr/>
          <w:p>
            <w:pPr>
              <w:pStyle w:val="Compact"/>
            </w:pPr>
            <w:r>
              <w:t xml:space="preserve">Non-AI fallback</w:t>
            </w:r>
          </w:p>
        </w:tc>
        <w:tc>
          <w:tcPr/>
          <w:p>
            <w:pPr>
              <w:pStyle w:val="Compact"/>
            </w:pPr>
            <w:r>
              <w:t xml:space="preserve">&gt;30-min gap in glucose data during critical post-meal window</w:t>
            </w:r>
          </w:p>
        </w:tc>
      </w:tr>
    </w:tbl>
    <w:bookmarkEnd w:id="42"/>
    <w:bookmarkStart w:id="43" w:name="behavior-contract"/>
    <w:p>
      <w:pPr>
        <w:pStyle w:val="Heading3"/>
      </w:pPr>
      <w:r>
        <w:t xml:space="preserve">Behavior Contract</w:t>
      </w:r>
    </w:p>
    <w:p>
      <w:pPr>
        <w:pStyle w:val="FirstParagraph"/>
      </w:pPr>
      <w:r>
        <w:rPr>
          <w:b/>
          <w:bCs/>
        </w:rPr>
        <w:t xml:space="preserve">Query 1: Photo of mixed plate (rice, grilled chicken, salad)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Photo of a dinner plate with white rice, grilled chicken breast, and green salad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Expected:</w:t>
      </w:r>
    </w:p>
    <w:p>
      <w:pPr>
        <w:pStyle w:val="Compact"/>
        <w:numPr>
          <w:ilvl w:val="1"/>
          <w:numId w:val="1010"/>
        </w:numPr>
      </w:pPr>
      <w:r>
        <w:t xml:space="preserve">Return top-3 candidates: (1)</w:t>
      </w:r>
      <w:r>
        <w:t xml:space="preserve"> </w:t>
      </w:r>
      <w:r>
        <w:t xml:space="preserve">“White rice, 1 cup”</w:t>
      </w:r>
      <w:r>
        <w:t xml:space="preserve"> </w:t>
      </w:r>
      <w:r>
        <w:t xml:space="preserve">+</w:t>
      </w:r>
      <w:r>
        <w:t xml:space="preserve"> </w:t>
      </w:r>
      <w:r>
        <w:t xml:space="preserve">“Grilled chicken breast, 150g”</w:t>
      </w:r>
      <w:r>
        <w:t xml:space="preserve"> </w:t>
      </w:r>
      <w:r>
        <w:t xml:space="preserve">+</w:t>
      </w:r>
      <w:r>
        <w:t xml:space="preserve"> </w:t>
      </w:r>
      <w:r>
        <w:t xml:space="preserve">“Green salad, mixed”</w:t>
      </w:r>
      <w:r>
        <w:t xml:space="preserve"> </w:t>
      </w:r>
      <w:r>
        <w:t xml:space="preserve">— confidence 0.78</w:t>
      </w:r>
    </w:p>
    <w:p>
      <w:pPr>
        <w:pStyle w:val="Compact"/>
        <w:numPr>
          <w:ilvl w:val="1"/>
          <w:numId w:val="1010"/>
        </w:numPr>
      </w:pPr>
      <w:r>
        <w:t xml:space="preserve">Display each item separately so patient can confirm, adjust portions, or remove incorrect items</w:t>
      </w:r>
    </w:p>
    <w:p>
      <w:pPr>
        <w:pStyle w:val="Compact"/>
        <w:numPr>
          <w:ilvl w:val="1"/>
          <w:numId w:val="1010"/>
        </w:numPr>
      </w:pPr>
      <w:r>
        <w:t xml:space="preserve">Pre-fill nutritional data (carbs, GI, calories) from regional food database for each confirmed item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Yes — mixed plates are harder than single items. The model must decompose into individual foods, not classify the entire plate as one item.</w:t>
      </w:r>
    </w:p>
    <w:p>
      <w:pPr>
        <w:pStyle w:val="FirstParagraph"/>
      </w:pPr>
      <w:r>
        <w:rPr>
          <w:b/>
          <w:bCs/>
        </w:rPr>
        <w:t xml:space="preserve">Query 2: Post-meal glucose correlation with clear spike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Patient logged</w:t>
      </w:r>
      <w:r>
        <w:t xml:space="preserve"> </w:t>
      </w:r>
      <w:r>
        <w:t xml:space="preserve">“Pasta carbonara, large portion”</w:t>
      </w:r>
      <w:r>
        <w:t xml:space="preserve"> </w:t>
      </w:r>
      <w:r>
        <w:t xml:space="preserve">at 12:15. Glucose data shows: 110 mg/dL at 12:00, rising to 185 mg/dL at 13:00, returning to 125 mg/dL at 14:30.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Expected:</w:t>
      </w:r>
    </w:p>
    <w:p>
      <w:pPr>
        <w:pStyle w:val="Compact"/>
        <w:numPr>
          <w:ilvl w:val="1"/>
          <w:numId w:val="1012"/>
        </w:numPr>
      </w:pPr>
      <w:r>
        <w:t xml:space="preserve">Identify spike: onset at ~12:30 (15 min post-meal), peak at 13:00 (75 mg/dL rise), recovery by 14:30</w:t>
      </w:r>
    </w:p>
    <w:p>
      <w:pPr>
        <w:pStyle w:val="Compact"/>
        <w:numPr>
          <w:ilvl w:val="1"/>
          <w:numId w:val="1012"/>
        </w:numPr>
      </w:pPr>
      <w:r>
        <w:t xml:space="preserve">Classify correlation as</w:t>
      </w:r>
      <w:r>
        <w:t xml:space="preserve"> </w:t>
      </w:r>
      <w:r>
        <w:t xml:space="preserve">“strong”</w:t>
      </w:r>
      <w:r>
        <w:t xml:space="preserve"> </w:t>
      </w:r>
      <w:r>
        <w:t xml:space="preserve">(clear temporal alignment, high-GI food, large glucose excursion)</w:t>
      </w:r>
    </w:p>
    <w:p>
      <w:pPr>
        <w:pStyle w:val="Compact"/>
        <w:numPr>
          <w:ilvl w:val="1"/>
          <w:numId w:val="1012"/>
        </w:numPr>
      </w:pPr>
      <w:r>
        <w:t xml:space="preserve">Display to patient:</w:t>
      </w:r>
      <w:r>
        <w:t xml:space="preserve"> </w:t>
      </w:r>
      <w:r>
        <w:t xml:space="preserve">“Pasta carbonara caused a 75 mg/dL spike peaking 45 minutes after eating. Recovery took ~2 hours.”</w:t>
      </w:r>
    </w:p>
    <w:p>
      <w:pPr>
        <w:pStyle w:val="Compact"/>
        <w:numPr>
          <w:ilvl w:val="1"/>
          <w:numId w:val="1012"/>
        </w:numPr>
      </w:pPr>
      <w:r>
        <w:t xml:space="preserve">Do NOT say</w:t>
      </w:r>
      <w:r>
        <w:t xml:space="preserve"> </w:t>
      </w:r>
      <w:r>
        <w:t xml:space="preserve">“avoid pasta”</w:t>
      </w:r>
      <w:r>
        <w:t xml:space="preserve"> </w:t>
      </w:r>
      <w:r>
        <w:t xml:space="preserve">or make dietary recommendations — correlation only, no prescription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No — this is the golden path scenario.</w:t>
      </w:r>
    </w:p>
    <w:p>
      <w:pPr>
        <w:pStyle w:val="FirstParagraph"/>
      </w:pPr>
      <w:r>
        <w:rPr>
          <w:b/>
          <w:bCs/>
        </w:rPr>
        <w:t xml:space="preserve">Query 3: Correlation with insulin confound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Patient logged</w:t>
      </w:r>
      <w:r>
        <w:t xml:space="preserve"> </w:t>
      </w:r>
      <w:r>
        <w:t xml:space="preserve">“Pizza, 2 slices”</w:t>
      </w:r>
      <w:r>
        <w:t xml:space="preserve"> </w:t>
      </w:r>
      <w:r>
        <w:t xml:space="preserve">at 18:00 AND logged 4 units rapid-acting insulin at 18:05. Glucose: 140 at 18:00, rises to 165 at 18:45, drops to 95 at 20:00.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Expected:</w:t>
      </w:r>
    </w:p>
    <w:p>
      <w:pPr>
        <w:pStyle w:val="Compact"/>
        <w:numPr>
          <w:ilvl w:val="1"/>
          <w:numId w:val="1014"/>
        </w:numPr>
      </w:pPr>
      <w:r>
        <w:t xml:space="preserve">Flag that insulin was administered in the correlation window</w:t>
      </w:r>
    </w:p>
    <w:p>
      <w:pPr>
        <w:pStyle w:val="Compact"/>
        <w:numPr>
          <w:ilvl w:val="1"/>
          <w:numId w:val="1014"/>
        </w:numPr>
      </w:pPr>
      <w:r>
        <w:t xml:space="preserve">Display correlation with caveat:</w:t>
      </w:r>
      <w:r>
        <w:t xml:space="preserve"> </w:t>
      </w:r>
      <w:r>
        <w:t xml:space="preserve">“Pizza was associated with a 25 mg/dL rise. Note: insulin was taken at 18:05, which may have reduced the glucose response.”</w:t>
      </w:r>
    </w:p>
    <w:p>
      <w:pPr>
        <w:pStyle w:val="Compact"/>
        <w:numPr>
          <w:ilvl w:val="1"/>
          <w:numId w:val="1014"/>
        </w:numPr>
      </w:pPr>
      <w:r>
        <w:t xml:space="preserve">Do NOT attribute the glucose pattern solely to food when insulin is a confound</w:t>
      </w:r>
    </w:p>
    <w:p>
      <w:pPr>
        <w:pStyle w:val="Compact"/>
        <w:numPr>
          <w:ilvl w:val="1"/>
          <w:numId w:val="1014"/>
        </w:numPr>
      </w:pPr>
      <w:r>
        <w:t xml:space="preserve">Log the insulin event as a covariate in the correlation metadata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Yes — insulin confounding is a safety-critical edge case. Misattributing a low spike to</w:t>
      </w:r>
      <w:r>
        <w:t xml:space="preserve"> </w:t>
      </w:r>
      <w:r>
        <w:t xml:space="preserve">“good food choice”</w:t>
      </w:r>
      <w:r>
        <w:t xml:space="preserve"> </w:t>
      </w:r>
      <w:r>
        <w:t xml:space="preserve">when insulin was the cause could lead to dangerous dietary decisions.</w:t>
      </w:r>
    </w:p>
    <w:p>
      <w:pPr>
        <w:pStyle w:val="FirstParagraph"/>
      </w:pPr>
      <w:r>
        <w:rPr>
          <w:b/>
          <w:bCs/>
        </w:rPr>
        <w:t xml:space="preserve">Query 4: Food photo in low-light / ambiguous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Blurry photo of a bowl of something brown, taken in dim restaurant lighting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Expected:</w:t>
      </w:r>
    </w:p>
    <w:p>
      <w:pPr>
        <w:pStyle w:val="Compact"/>
        <w:numPr>
          <w:ilvl w:val="1"/>
          <w:numId w:val="1016"/>
        </w:numPr>
      </w:pPr>
      <w:r>
        <w:t xml:space="preserve">Confidence score &lt; 0.6 for all candidates</w:t>
      </w:r>
    </w:p>
    <w:p>
      <w:pPr>
        <w:pStyle w:val="Compact"/>
        <w:numPr>
          <w:ilvl w:val="1"/>
          <w:numId w:val="1016"/>
        </w:numPr>
      </w:pPr>
      <w:r>
        <w:t xml:space="preserve">Do NOT guess — fall back to manual search:</w:t>
      </w:r>
      <w:r>
        <w:t xml:space="preserve"> </w:t>
      </w:r>
      <w:r>
        <w:t xml:space="preserve">“I couldn’t identify this food clearly. Search for it instead?”</w:t>
      </w:r>
    </w:p>
    <w:p>
      <w:pPr>
        <w:pStyle w:val="Compact"/>
        <w:numPr>
          <w:ilvl w:val="1"/>
          <w:numId w:val="1016"/>
        </w:numPr>
      </w:pPr>
      <w:r>
        <w:t xml:space="preserve">Log the failed recognition attempt for model improvement pipeline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Yes — false positive food identification could corrupt the correlation data and erode patient trust.</w:t>
      </w:r>
    </w:p>
    <w:p>
      <w:pPr>
        <w:pStyle w:val="FirstParagraph"/>
      </w:pPr>
      <w:r>
        <w:rPr>
          <w:b/>
          <w:bCs/>
        </w:rPr>
        <w:t xml:space="preserve">Query 5: Pattern detection across 14 days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14 days of data showing glucose spikes of 60-80 mg/dL consistently 30-60 minutes after breakfast entries containing</w:t>
      </w:r>
      <w:r>
        <w:t xml:space="preserve"> </w:t>
      </w:r>
      <w:r>
        <w:t xml:space="preserve">“orange juice”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Expected:</w:t>
      </w:r>
    </w:p>
    <w:p>
      <w:pPr>
        <w:pStyle w:val="Compact"/>
        <w:numPr>
          <w:ilvl w:val="1"/>
          <w:numId w:val="1018"/>
        </w:numPr>
      </w:pPr>
      <w:r>
        <w:t xml:space="preserve">Detect recurring pattern:</w:t>
      </w:r>
      <w:r>
        <w:t xml:space="preserve"> </w:t>
      </w:r>
      <w:r>
        <w:t xml:space="preserve">“Orange juice at breakfast is associated with a 60-80 mg/dL spike within 30-60 minutes (observed 11 of 14 days)”</w:t>
      </w:r>
    </w:p>
    <w:p>
      <w:pPr>
        <w:pStyle w:val="Compact"/>
        <w:numPr>
          <w:ilvl w:val="1"/>
          <w:numId w:val="1018"/>
        </w:numPr>
      </w:pPr>
      <w:r>
        <w:t xml:space="preserve">Display as a</w:t>
      </w:r>
      <w:r>
        <w:t xml:space="preserve"> </w:t>
      </w:r>
      <w:r>
        <w:t xml:space="preserve">“Pattern Alert”</w:t>
      </w:r>
      <w:r>
        <w:t xml:space="preserve"> </w:t>
      </w:r>
      <w:r>
        <w:t xml:space="preserve">in the patient dashboard</w:t>
      </w:r>
    </w:p>
    <w:p>
      <w:pPr>
        <w:pStyle w:val="Compact"/>
        <w:numPr>
          <w:ilvl w:val="1"/>
          <w:numId w:val="1018"/>
        </w:numPr>
      </w:pPr>
      <w:r>
        <w:t xml:space="preserve">Make the pattern available to the patient’s clinician and dietitian in their respective portals</w:t>
      </w:r>
    </w:p>
    <w:p>
      <w:pPr>
        <w:pStyle w:val="Compact"/>
        <w:numPr>
          <w:ilvl w:val="1"/>
          <w:numId w:val="1018"/>
        </w:numPr>
      </w:pPr>
      <w:r>
        <w:t xml:space="preserve">Do NOT recommend stopping orange juice — show the pattern, let the care team advise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No — this is the core value proposition scenario.</w:t>
      </w:r>
    </w:p>
    <w:bookmarkEnd w:id="43"/>
    <w:bookmarkStart w:id="44" w:name="guardrails"/>
    <w:p>
      <w:pPr>
        <w:pStyle w:val="Heading3"/>
      </w:pPr>
      <w:r>
        <w:t xml:space="preserve">Guardrails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clinical claims:</w:t>
      </w:r>
      <w:r>
        <w:t xml:space="preserve"> </w:t>
      </w:r>
      <w:r>
        <w:t xml:space="preserve">The AI must never state that a food</w:t>
      </w:r>
      <w:r>
        <w:t xml:space="preserve"> </w:t>
      </w:r>
      <w:r>
        <w:t xml:space="preserve">“causes”</w:t>
      </w:r>
      <w:r>
        <w:t xml:space="preserve"> </w:t>
      </w:r>
      <w:r>
        <w:t xml:space="preserve">a glucose response in absolute terms. Use</w:t>
      </w:r>
      <w:r>
        <w:t xml:space="preserve"> </w:t>
      </w:r>
      <w:r>
        <w:t xml:space="preserve">“associated with,”</w:t>
      </w:r>
      <w:r>
        <w:t xml:space="preserve"> </w:t>
      </w:r>
      <w:r>
        <w:t xml:space="preserve">“correlated with,”</w:t>
      </w:r>
      <w:r>
        <w:t xml:space="preserve"> </w:t>
      </w:r>
      <w:r>
        <w:t xml:space="preserve">“followed by.”</w:t>
      </w:r>
      <w:r>
        <w:t xml:space="preserve"> </w:t>
      </w:r>
      <w:r>
        <w:t xml:space="preserve">Causation language is a regulatory labeling claim.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dietary recommendations:</w:t>
      </w:r>
      <w:r>
        <w:t xml:space="preserve"> </w:t>
      </w:r>
      <w:r>
        <w:t xml:space="preserve">The AI shows correlations and patterns. It does not say</w:t>
      </w:r>
      <w:r>
        <w:t xml:space="preserve"> </w:t>
      </w:r>
      <w:r>
        <w:t xml:space="preserve">“eat less of X”</w:t>
      </w:r>
      <w:r>
        <w:t xml:space="preserve"> </w:t>
      </w:r>
      <w:r>
        <w:t xml:space="preserve">or</w:t>
      </w:r>
      <w:r>
        <w:t xml:space="preserve"> </w:t>
      </w:r>
      <w:r>
        <w:t xml:space="preserve">“try Y instead.”</w:t>
      </w:r>
      <w:r>
        <w:t xml:space="preserve"> </w:t>
      </w:r>
      <w:r>
        <w:t xml:space="preserve">Dietary advice is the clinician’s and dietitian’s domain.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insulin dosing suggestions:</w:t>
      </w:r>
      <w:r>
        <w:t xml:space="preserve"> </w:t>
      </w:r>
      <w:r>
        <w:t xml:space="preserve">The system never suggests insulin amounts, timing adjustments, or medication changes.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diagnosis:</w:t>
      </w:r>
      <w:r>
        <w:t xml:space="preserve"> </w:t>
      </w:r>
      <w:r>
        <w:t xml:space="preserve">The AI does not diagnose diabetes type, complications, or comorbidities from glucose patterns.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Correlation requires minimum data:</w:t>
      </w:r>
      <w:r>
        <w:t xml:space="preserve"> </w:t>
      </w:r>
      <w:r>
        <w:t xml:space="preserve">The system must not display a food-glucose correlation when glucose data is missing for &gt;30 minutes in the 3-hour post-meal window. Show</w:t>
      </w:r>
      <w:r>
        <w:t xml:space="preserve"> </w:t>
      </w:r>
      <w:r>
        <w:t xml:space="preserve">“insufficient data”</w:t>
      </w:r>
      <w:r>
        <w:t xml:space="preserve"> </w:t>
      </w:r>
      <w:r>
        <w:t xml:space="preserve">instead of a weak/misleading correlation.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Patient safety on false negatives:</w:t>
      </w:r>
      <w:r>
        <w:t xml:space="preserve"> </w:t>
      </w:r>
      <w:r>
        <w:t xml:space="preserve">If the system shows</w:t>
      </w:r>
      <w:r>
        <w:t xml:space="preserve"> </w:t>
      </w:r>
      <w:r>
        <w:t xml:space="preserve">“no correlation”</w:t>
      </w:r>
      <w:r>
        <w:t xml:space="preserve"> </w:t>
      </w:r>
      <w:r>
        <w:t xml:space="preserve">for a high-GI food, flag for clinical review rather than display as definitive — the absence of a detected spike doesn’t mean the food is safe.</w:t>
      </w:r>
    </w:p>
    <w:bookmarkEnd w:id="44"/>
    <w:bookmarkStart w:id="45" w:name="fallback-behavior"/>
    <w:p>
      <w:pPr>
        <w:pStyle w:val="Heading3"/>
      </w:pPr>
      <w:r>
        <w:t xml:space="preserve">Fallback Behavior</w:t>
      </w:r>
    </w:p>
    <w:p>
      <w:pPr>
        <w:pStyle w:val="FirstParagraph"/>
      </w:pPr>
      <w:r>
        <w:rPr>
          <w:b/>
          <w:bCs/>
        </w:rPr>
        <w:t xml:space="preserve">When AI is uncertain (food recognition confidence &lt; 0.6):</w:t>
      </w:r>
      <w:r>
        <w:t xml:space="preserve"> </w:t>
      </w:r>
      <w:r>
        <w:t xml:space="preserve">- Show manual food search interface with text input</w:t>
      </w:r>
      <w:r>
        <w:t xml:space="preserve"> </w:t>
      </w:r>
      <w:r>
        <w:t xml:space="preserve">- Display</w:t>
      </w:r>
      <w:r>
        <w:t xml:space="preserve"> </w:t>
      </w:r>
      <w:r>
        <w:t xml:space="preserve">“I couldn’t identify this food — search for it instead?”</w:t>
      </w:r>
      <w:r>
        <w:t xml:space="preserve"> </w:t>
      </w:r>
      <w:r>
        <w:t xml:space="preserve">message</w:t>
      </w:r>
      <w:r>
        <w:t xml:space="preserve"> </w:t>
      </w:r>
      <w:r>
        <w:t xml:space="preserve">- Log failed attempt with anonymized image metadata for model retraining pipeline</w:t>
      </w:r>
    </w:p>
    <w:p>
      <w:pPr>
        <w:pStyle w:val="BodyText"/>
      </w:pPr>
      <w:r>
        <w:rPr>
          <w:b/>
          <w:bCs/>
        </w:rPr>
        <w:t xml:space="preserve">When correlation data is insufficient:</w:t>
      </w:r>
      <w:r>
        <w:t xml:space="preserve"> </w:t>
      </w:r>
      <w:r>
        <w:t xml:space="preserve">- Show glucose chart and food log side-by-side without correlation overlay</w:t>
      </w:r>
      <w:r>
        <w:t xml:space="preserve"> </w:t>
      </w:r>
      <w:r>
        <w:t xml:space="preserve">- Display:</w:t>
      </w:r>
      <w:r>
        <w:t xml:space="preserve"> </w:t>
      </w:r>
      <w:r>
        <w:t xml:space="preserve">“Not enough glucose data around this meal to calculate correlation”</w:t>
      </w:r>
      <w:r>
        <w:t xml:space="preserve"> </w:t>
      </w:r>
      <w:r>
        <w:t xml:space="preserve">- Do not show partial/speculative correlations</w:t>
      </w:r>
    </w:p>
    <w:p>
      <w:pPr>
        <w:pStyle w:val="BodyText"/>
      </w:pPr>
      <w:r>
        <w:rPr>
          <w:b/>
          <w:bCs/>
        </w:rPr>
        <w:t xml:space="preserve">Handoff path:</w:t>
      </w:r>
      <w:r>
        <w:t xml:space="preserve"> </w:t>
      </w:r>
      <w:r>
        <w:t xml:space="preserve">All AI features fall back to the non-AI version of the same feature (manual search, raw glucose chart, basic time-series view)</w:t>
      </w:r>
      <w:r>
        <w:t xml:space="preserve"> </w:t>
      </w:r>
      <w:r>
        <w:rPr>
          <w:b/>
          <w:bCs/>
        </w:rPr>
        <w:t xml:space="preserve">Trigger threshold:</w:t>
      </w:r>
      <w:r>
        <w:t xml:space="preserve"> </w:t>
      </w:r>
      <w:r>
        <w:t xml:space="preserve">Confidence &lt; 0.6 for recognition tasks; &gt;30-min glucose gap for correlation tasks; latency &gt;2000ms for any AI inference (timeout to non-AI path)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ction-8-post-ship"/>
    <w:p>
      <w:pPr>
        <w:pStyle w:val="Heading2"/>
      </w:pPr>
      <w:r>
        <w:t xml:space="preserve">Section 8: Post-Ship</w:t>
      </w:r>
    </w:p>
    <w:p>
      <w:pPr>
        <w:pStyle w:val="FirstParagraph"/>
      </w:pPr>
      <w:r>
        <w:rPr>
          <w:i/>
          <w:iCs/>
        </w:rPr>
        <w:t xml:space="preserve">[Leave blank until first evaluation — fill after pilot or initial rollout completes]</w:t>
      </w:r>
    </w:p>
    <w:p>
      <w:pPr>
        <w:pStyle w:val="BodyText"/>
      </w:pPr>
      <w:r>
        <w:rPr>
          <w:b/>
          <w:bCs/>
        </w:rPr>
        <w:t xml:space="preserve">Results doc link</w:t>
      </w:r>
      <w:r>
        <w:t xml:space="preserve"> </w:t>
      </w:r>
      <w:r>
        <w:rPr>
          <w:i/>
          <w:iCs/>
        </w:rPr>
        <w:t xml:space="preserve">[Link to dashboard or experiment results]</w:t>
      </w:r>
    </w:p>
    <w:p>
      <w:pPr>
        <w:pStyle w:val="BodyText"/>
      </w:pPr>
      <w:r>
        <w:rPr>
          <w:b/>
          <w:bCs/>
        </w:rPr>
        <w:t xml:space="preserve">What surprised us?</w:t>
      </w:r>
      <w:r>
        <w:t xml:space="preserve"> </w:t>
      </w:r>
      <w:r>
        <w:rPr>
          <w:i/>
          <w:iCs/>
        </w:rPr>
        <w:t xml:space="preserve">[What did users do that we didn’t expect? What did data show that we didn’t anticipate?]</w:t>
      </w:r>
    </w:p>
    <w:p>
      <w:pPr>
        <w:pStyle w:val="BodyText"/>
      </w:pPr>
      <w:r>
        <w:rPr>
          <w:b/>
          <w:bCs/>
        </w:rPr>
        <w:t xml:space="preserve">What will we change?</w:t>
      </w:r>
      <w:r>
        <w:t xml:space="preserve"> </w:t>
      </w:r>
      <w:r>
        <w:rPr>
          <w:i/>
          <w:iCs/>
        </w:rPr>
        <w:t xml:space="preserve">[Based on results — changes to scope, metrics, rollout strategy, or behavior contract]</w:t>
      </w:r>
    </w:p>
    <w:p>
      <w:pPr>
        <w:pStyle w:val="BodyText"/>
      </w:pPr>
      <w:r>
        <w:rPr>
          <w:b/>
          <w:bCs/>
        </w:rPr>
        <w:t xml:space="preserve">New examples to add to behavior contract</w:t>
      </w:r>
      <w:r>
        <w:t xml:space="preserve"> </w:t>
      </w:r>
      <w:r>
        <w:rPr>
          <w:i/>
          <w:iCs/>
        </w:rPr>
        <w:t xml:space="preserve">[Real production inputs that should be added as examples for next iteration]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 </w:t>
      </w:r>
      <w:r>
        <w:t xml:space="preserve">- ○ Iterate — continue with changes</w:t>
      </w:r>
      <w:r>
        <w:t xml:space="preserve"> </w:t>
      </w:r>
      <w:r>
        <w:t xml:space="preserve">- ○ Scale — expand rollout as planned</w:t>
      </w:r>
      <w:r>
        <w:t xml:space="preserve"> </w:t>
      </w:r>
      <w:r>
        <w:t xml:space="preserve">- ○ Retire — stop and document why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2026-04-14T20:59:25Z</dcterms:created>
  <dcterms:modified xsi:type="dcterms:W3CDTF">2026-04-14T20:59:25Z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