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50"/>
          <w:sz w:val="56"/>
        </w:rPr>
        <w:t>Abbott GenAI Blueprint &amp; Capability Model</w:t>
      </w:r>
    </w:p>
    <w:p/>
    <w:p>
      <w:pPr>
        <w:jc w:val="center"/>
      </w:pPr>
      <w:r>
        <w:rPr>
          <w:color w:val="3333AA"/>
          <w:sz w:val="32"/>
        </w:rPr>
        <w:t>Enterprise AI Landscape — 220 Use Cases Across 15 Divisions</w:t>
      </w:r>
    </w:p>
    <w:p/>
    <w:tbl>
      <w:tblPr>
        <w:tblStyle w:val="TableGrid"/>
        <w:tblW w:type="auto" w:w="0"/>
        <w:tblLook w:firstColumn="1" w:firstRow="1" w:lastColumn="0" w:lastRow="0" w:noHBand="0" w:noVBand="1" w:val="04A0"/>
      </w:tblPr>
      <w:tblGrid>
        <w:gridCol w:w="4392"/>
        <w:gridCol w:w="4392"/>
      </w:tblGrid>
      <w:tr>
        <w:tc>
          <w:tcPr>
            <w:tcW w:type="dxa" w:w="4392"/>
            <w:shd w:val="clear" w:color="auto" w:fill="000050"/>
          </w:tcPr>
          <w:p>
            <w:r>
              <w:rPr>
                <w:b/>
                <w:color w:val="FFFFFF"/>
                <w:sz w:val="20"/>
              </w:rPr>
              <w:t>Document Version</w:t>
            </w:r>
          </w:p>
        </w:tc>
        <w:tc>
          <w:tcPr>
            <w:tcW w:type="dxa" w:w="4392"/>
          </w:tcPr>
          <w:p>
            <w:r>
              <w:rPr>
                <w:sz w:val="20"/>
              </w:rPr>
              <w:t>1.0</w:t>
            </w:r>
          </w:p>
        </w:tc>
      </w:tr>
      <w:tr>
        <w:tc>
          <w:tcPr>
            <w:tcW w:type="dxa" w:w="4392"/>
            <w:shd w:val="clear" w:color="auto" w:fill="000050"/>
          </w:tcPr>
          <w:p>
            <w:r>
              <w:rPr>
                <w:b/>
                <w:color w:val="FFFFFF"/>
                <w:sz w:val="20"/>
              </w:rPr>
              <w:t>Date</w:t>
            </w:r>
          </w:p>
        </w:tc>
        <w:tc>
          <w:tcPr>
            <w:tcW w:type="dxa" w:w="4392"/>
          </w:tcPr>
          <w:p>
            <w:r>
              <w:rPr>
                <w:sz w:val="20"/>
              </w:rPr>
              <w:t>2026-05-06</w:t>
            </w:r>
          </w:p>
        </w:tc>
      </w:tr>
      <w:tr>
        <w:tc>
          <w:tcPr>
            <w:tcW w:type="dxa" w:w="4392"/>
            <w:shd w:val="clear" w:color="auto" w:fill="000050"/>
          </w:tcPr>
          <w:p>
            <w:r>
              <w:rPr>
                <w:b/>
                <w:color w:val="FFFFFF"/>
                <w:sz w:val="20"/>
              </w:rPr>
              <w:t>Owner</w:t>
            </w:r>
          </w:p>
        </w:tc>
        <w:tc>
          <w:tcPr>
            <w:tcW w:type="dxa" w:w="4392"/>
          </w:tcPr>
          <w:p>
            <w:r>
              <w:rPr>
                <w:sz w:val="20"/>
              </w:rPr>
              <w:t>Abbott BTS-DTS | GenAI Center of Excellence</w:t>
            </w:r>
          </w:p>
        </w:tc>
      </w:tr>
      <w:tr>
        <w:tc>
          <w:tcPr>
            <w:tcW w:type="dxa" w:w="4392"/>
            <w:shd w:val="clear" w:color="auto" w:fill="000050"/>
          </w:tcPr>
          <w:p>
            <w:r>
              <w:rPr>
                <w:b/>
                <w:color w:val="FFFFFF"/>
                <w:sz w:val="20"/>
              </w:rPr>
              <w:t>Classification</w:t>
            </w:r>
          </w:p>
        </w:tc>
        <w:tc>
          <w:tcPr>
            <w:tcW w:type="dxa" w:w="4392"/>
          </w:tcPr>
          <w:p>
            <w:r>
              <w:rPr>
                <w:sz w:val="20"/>
              </w:rPr>
              <w:t>Proprietary and Confidential — Do Not Distribute</w:t>
            </w:r>
          </w:p>
        </w:tc>
      </w:tr>
    </w:tbl>
    <w:p>
      <w:r>
        <w:br w:type="page"/>
      </w:r>
    </w:p>
    <w:p>
      <w:pPr>
        <w:spacing w:before="240" w:after="120"/>
      </w:pPr>
      <w:r>
        <w:rPr>
          <w:b/>
          <w:color w:val="000050"/>
          <w:sz w:val="36"/>
        </w:rPr>
        <w:t>1. Executive Summary</w:t>
      </w:r>
    </w:p>
    <w:p>
      <w:r>
        <w:t>Abbott is executing a broad-based GenAI transformation across 12 business divisions, encompassing 220 catalogued use cases that span from clinical research to commercial marketing. As of 1Q26, 40 use cases are in production, 43 are in active development (WIP), and 29 are pending ESC approval. The portfolio reflects a deliberate Buy-first strategy (133 Buy vs. 86 Build), anchored on enterprise platforms such as Azure AI Foundry, Microsoft M365 Copilot, Salesforce Einstein, and Adobe Experience Cloud.</w:t>
      </w:r>
    </w:p>
    <w:p>
      <w:r>
        <w:t>The capability landscape has been consolidated from 15 raw capability categories into six strategic domains, providing a coherent blueprint for investment, governance, and platform standardization. The largest divisions by use case volume — BTS (32), ADC (31), and Corporate (27) — are driving enterprise-wide tooling, while commercial divisions like EPD and GMEA are leading production deployment in field engagement.</w:t>
      </w:r>
    </w:p>
    <w:p>
      <w:r>
        <w:br w:type="page"/>
      </w:r>
    </w:p>
    <w:p>
      <w:pPr>
        <w:spacing w:before="240" w:after="120"/>
      </w:pPr>
      <w:r>
        <w:rPr>
          <w:b/>
          <w:color w:val="000050"/>
          <w:sz w:val="36"/>
        </w:rPr>
        <w:t>2. GenAI Landscape Overview</w:t>
      </w:r>
    </w:p>
    <w:p>
      <w:pPr>
        <w:spacing w:before="240" w:after="120"/>
      </w:pPr>
      <w:r>
        <w:rPr>
          <w:b/>
          <w:color w:val="000050"/>
          <w:sz w:val="28"/>
        </w:rPr>
        <w:t>2.1 Portfolio Statistics</w:t>
      </w:r>
    </w:p>
    <w:tbl>
      <w:tblPr>
        <w:tblStyle w:val="TableGrid"/>
        <w:tblW w:type="auto" w:w="0"/>
        <w:jc w:val="left"/>
        <w:tblLook w:firstColumn="1" w:firstRow="1" w:lastColumn="0" w:lastRow="0" w:noHBand="0" w:noVBand="1" w:val="04A0"/>
      </w:tblPr>
      <w:tblGrid>
        <w:gridCol w:w="3600"/>
        <w:gridCol w:w="2880"/>
        <w:gridCol w:w="5040"/>
      </w:tblGrid>
      <w:tr>
        <w:tc>
          <w:tcPr>
            <w:tcW w:type="dxa" w:w="2928"/>
            <w:shd w:val="clear" w:color="auto" w:fill="000050"/>
          </w:tcPr>
          <w:p>
            <w:r>
              <w:rPr>
                <w:b/>
                <w:color w:val="FFFFFF"/>
                <w:sz w:val="20"/>
              </w:rPr>
              <w:t>Metric</w:t>
            </w:r>
          </w:p>
        </w:tc>
        <w:tc>
          <w:tcPr>
            <w:tcW w:type="dxa" w:w="2928"/>
            <w:shd w:val="clear" w:color="auto" w:fill="000050"/>
          </w:tcPr>
          <w:p>
            <w:r>
              <w:rPr>
                <w:b/>
                <w:color w:val="FFFFFF"/>
                <w:sz w:val="20"/>
              </w:rPr>
              <w:t>Value</w:t>
            </w:r>
          </w:p>
        </w:tc>
        <w:tc>
          <w:tcPr>
            <w:tcW w:type="dxa" w:w="2928"/>
            <w:shd w:val="clear" w:color="auto" w:fill="000050"/>
          </w:tcPr>
          <w:p>
            <w:r>
              <w:rPr>
                <w:b/>
                <w:color w:val="FFFFFF"/>
                <w:sz w:val="20"/>
              </w:rPr>
              <w:t>Notes</w:t>
            </w:r>
          </w:p>
        </w:tc>
      </w:tr>
      <w:tr>
        <w:tc>
          <w:tcPr>
            <w:tcW w:type="dxa" w:w="2928"/>
            <w:shd w:val="clear" w:color="auto" w:fill="F0F0FF"/>
          </w:tcPr>
          <w:p>
            <w:r>
              <w:rPr>
                <w:sz w:val="18"/>
              </w:rPr>
              <w:t>Total use cases</w:t>
            </w:r>
          </w:p>
        </w:tc>
        <w:tc>
          <w:tcPr>
            <w:tcW w:type="dxa" w:w="2928"/>
            <w:shd w:val="clear" w:color="auto" w:fill="F0F0FF"/>
          </w:tcPr>
          <w:p>
            <w:r>
              <w:rPr>
                <w:sz w:val="18"/>
              </w:rPr>
              <w:t>220</w:t>
            </w:r>
          </w:p>
        </w:tc>
        <w:tc>
          <w:tcPr>
            <w:tcW w:type="dxa" w:w="2928"/>
            <w:shd w:val="clear" w:color="auto" w:fill="F0F0FF"/>
          </w:tcPr>
          <w:p>
            <w:r>
              <w:rPr>
                <w:sz w:val="18"/>
              </w:rPr>
              <w:t>Across all active, WIP, cancelled, and on-hold</w:t>
            </w:r>
          </w:p>
        </w:tc>
      </w:tr>
      <w:tr>
        <w:tc>
          <w:tcPr>
            <w:tcW w:type="dxa" w:w="2928"/>
          </w:tcPr>
          <w:p>
            <w:r>
              <w:rPr>
                <w:sz w:val="18"/>
              </w:rPr>
              <w:t>In production</w:t>
            </w:r>
          </w:p>
        </w:tc>
        <w:tc>
          <w:tcPr>
            <w:tcW w:type="dxa" w:w="2928"/>
          </w:tcPr>
          <w:p>
            <w:r>
              <w:rPr>
                <w:sz w:val="18"/>
              </w:rPr>
              <w:t>40 (18%)</w:t>
            </w:r>
          </w:p>
        </w:tc>
        <w:tc>
          <w:tcPr>
            <w:tcW w:type="dxa" w:w="2928"/>
          </w:tcPr>
          <w:p>
            <w:r>
              <w:rPr>
                <w:sz w:val="18"/>
              </w:rPr>
              <w:t>Generating live business value</w:t>
            </w:r>
          </w:p>
        </w:tc>
      </w:tr>
      <w:tr>
        <w:tc>
          <w:tcPr>
            <w:tcW w:type="dxa" w:w="2928"/>
            <w:shd w:val="clear" w:color="auto" w:fill="F0F0FF"/>
          </w:tcPr>
          <w:p>
            <w:r>
              <w:rPr>
                <w:sz w:val="18"/>
              </w:rPr>
              <w:t>WIP / Active development</w:t>
            </w:r>
          </w:p>
        </w:tc>
        <w:tc>
          <w:tcPr>
            <w:tcW w:type="dxa" w:w="2928"/>
            <w:shd w:val="clear" w:color="auto" w:fill="F0F0FF"/>
          </w:tcPr>
          <w:p>
            <w:r>
              <w:rPr>
                <w:sz w:val="18"/>
              </w:rPr>
              <w:t>43 (20%)</w:t>
            </w:r>
          </w:p>
        </w:tc>
        <w:tc>
          <w:tcPr>
            <w:tcW w:type="dxa" w:w="2928"/>
            <w:shd w:val="clear" w:color="auto" w:fill="F0F0FF"/>
          </w:tcPr>
          <w:p>
            <w:r>
              <w:rPr>
                <w:sz w:val="18"/>
              </w:rPr>
              <w:t>Targeted for production in 2026</w:t>
            </w:r>
          </w:p>
        </w:tc>
      </w:tr>
      <w:tr>
        <w:tc>
          <w:tcPr>
            <w:tcW w:type="dxa" w:w="2928"/>
          </w:tcPr>
          <w:p>
            <w:r>
              <w:rPr>
                <w:sz w:val="18"/>
              </w:rPr>
              <w:t>Pending ESC approval</w:t>
            </w:r>
          </w:p>
        </w:tc>
        <w:tc>
          <w:tcPr>
            <w:tcW w:type="dxa" w:w="2928"/>
          </w:tcPr>
          <w:p>
            <w:r>
              <w:rPr>
                <w:sz w:val="18"/>
              </w:rPr>
              <w:t>29 (13%)</w:t>
            </w:r>
          </w:p>
        </w:tc>
        <w:tc>
          <w:tcPr>
            <w:tcW w:type="dxa" w:w="2928"/>
          </w:tcPr>
          <w:p>
            <w:r>
              <w:rPr>
                <w:sz w:val="18"/>
              </w:rPr>
              <w:t>Backlog to be cleared Q2 2026</w:t>
            </w:r>
          </w:p>
        </w:tc>
      </w:tr>
      <w:tr>
        <w:tc>
          <w:tcPr>
            <w:tcW w:type="dxa" w:w="2928"/>
            <w:shd w:val="clear" w:color="auto" w:fill="F0F0FF"/>
          </w:tcPr>
          <w:p>
            <w:r>
              <w:rPr>
                <w:sz w:val="18"/>
              </w:rPr>
              <w:t>Cancelled / On Hold</w:t>
            </w:r>
          </w:p>
        </w:tc>
        <w:tc>
          <w:tcPr>
            <w:tcW w:type="dxa" w:w="2928"/>
            <w:shd w:val="clear" w:color="auto" w:fill="F0F0FF"/>
          </w:tcPr>
          <w:p>
            <w:r>
              <w:rPr>
                <w:sz w:val="18"/>
              </w:rPr>
              <w:t>51 (23%)</w:t>
            </w:r>
          </w:p>
        </w:tc>
        <w:tc>
          <w:tcPr>
            <w:tcW w:type="dxa" w:w="2928"/>
            <w:shd w:val="clear" w:color="auto" w:fill="F0F0FF"/>
          </w:tcPr>
          <w:p>
            <w:r>
              <w:rPr>
                <w:sz w:val="18"/>
              </w:rPr>
              <w:t>Deprioritized or deferred</w:t>
            </w:r>
          </w:p>
        </w:tc>
      </w:tr>
      <w:tr>
        <w:tc>
          <w:tcPr>
            <w:tcW w:type="dxa" w:w="2928"/>
          </w:tcPr>
          <w:p>
            <w:r>
              <w:rPr>
                <w:sz w:val="18"/>
              </w:rPr>
              <w:t>Buy vs. Build</w:t>
            </w:r>
          </w:p>
        </w:tc>
        <w:tc>
          <w:tcPr>
            <w:tcW w:type="dxa" w:w="2928"/>
          </w:tcPr>
          <w:p>
            <w:r>
              <w:rPr>
                <w:sz w:val="18"/>
              </w:rPr>
              <w:t>133 Buy / 86 Build</w:t>
            </w:r>
          </w:p>
        </w:tc>
        <w:tc>
          <w:tcPr>
            <w:tcW w:type="dxa" w:w="2928"/>
          </w:tcPr>
          <w:p>
            <w:r>
              <w:rPr>
                <w:sz w:val="18"/>
              </w:rPr>
              <w:t>61% Buy — platform-first strategy</w:t>
            </w:r>
          </w:p>
        </w:tc>
      </w:tr>
      <w:tr>
        <w:tc>
          <w:tcPr>
            <w:tcW w:type="dxa" w:w="2928"/>
            <w:shd w:val="clear" w:color="auto" w:fill="F0F0FF"/>
          </w:tcPr>
          <w:p>
            <w:r>
              <w:rPr>
                <w:sz w:val="18"/>
              </w:rPr>
              <w:t>Divisions represented</w:t>
            </w:r>
          </w:p>
        </w:tc>
        <w:tc>
          <w:tcPr>
            <w:tcW w:type="dxa" w:w="2928"/>
            <w:shd w:val="clear" w:color="auto" w:fill="F0F0FF"/>
          </w:tcPr>
          <w:p>
            <w:r>
              <w:rPr>
                <w:sz w:val="18"/>
              </w:rPr>
              <w:t>12</w:t>
            </w:r>
          </w:p>
        </w:tc>
        <w:tc>
          <w:tcPr>
            <w:tcW w:type="dxa" w:w="2928"/>
            <w:shd w:val="clear" w:color="auto" w:fill="F0F0FF"/>
          </w:tcPr>
          <w:p>
            <w:r>
              <w:rPr>
                <w:sz w:val="18"/>
              </w:rPr>
              <w:t>BTS, ADC, Corp, AN, RMDx, MD, EPD, CHR, GMEA, CoreDx, Lingo, Cyber</w:t>
            </w:r>
          </w:p>
        </w:tc>
      </w:tr>
      <w:tr>
        <w:tc>
          <w:tcPr>
            <w:tcW w:type="dxa" w:w="2928"/>
          </w:tcPr>
          <w:p>
            <w:r>
              <w:rPr>
                <w:sz w:val="18"/>
              </w:rPr>
              <w:t>Top business function</w:t>
            </w:r>
          </w:p>
        </w:tc>
        <w:tc>
          <w:tcPr>
            <w:tcW w:type="dxa" w:w="2928"/>
          </w:tcPr>
          <w:p>
            <w:r>
              <w:rPr>
                <w:sz w:val="18"/>
              </w:rPr>
              <w:t>Marketing/Sales (22)</w:t>
            </w:r>
          </w:p>
        </w:tc>
        <w:tc>
          <w:tcPr>
            <w:tcW w:type="dxa" w:w="2928"/>
          </w:tcPr>
          <w:p>
            <w:r>
              <w:rPr>
                <w:sz w:val="18"/>
              </w:rPr>
              <w:t>Followed by Engineering (15) and HR (12)</w:t>
            </w:r>
          </w:p>
        </w:tc>
      </w:tr>
    </w:tbl>
    <w:p/>
    <w:p>
      <w:pPr>
        <w:spacing w:before="240" w:after="120"/>
      </w:pPr>
      <w:r>
        <w:rPr>
          <w:b/>
          <w:color w:val="000050"/>
          <w:sz w:val="28"/>
        </w:rPr>
        <w:t>2.2 Domain Maturity Summary</w:t>
      </w:r>
    </w:p>
    <w:tbl>
      <w:tblPr>
        <w:tblStyle w:val="TableGrid"/>
        <w:tblW w:type="auto" w:w="0"/>
        <w:jc w:val="left"/>
        <w:tblLook w:firstColumn="1" w:firstRow="1" w:lastColumn="0" w:lastRow="0" w:noHBand="0" w:noVBand="1" w:val="04A0"/>
      </w:tblPr>
      <w:tblGrid>
        <w:gridCol w:w="4320"/>
        <w:gridCol w:w="2160"/>
        <w:gridCol w:w="2160"/>
        <w:gridCol w:w="1440"/>
        <w:gridCol w:w="3600"/>
      </w:tblGrid>
      <w:tr>
        <w:tc>
          <w:tcPr>
            <w:tcW w:type="dxa" w:w="1757"/>
            <w:shd w:val="clear" w:color="auto" w:fill="000050"/>
          </w:tcPr>
          <w:p>
            <w:r>
              <w:rPr>
                <w:b/>
                <w:color w:val="FFFFFF"/>
                <w:sz w:val="20"/>
              </w:rPr>
              <w:t>Domain</w:t>
            </w:r>
          </w:p>
        </w:tc>
        <w:tc>
          <w:tcPr>
            <w:tcW w:type="dxa" w:w="1757"/>
            <w:shd w:val="clear" w:color="auto" w:fill="000050"/>
          </w:tcPr>
          <w:p>
            <w:r>
              <w:rPr>
                <w:b/>
                <w:color w:val="FFFFFF"/>
                <w:sz w:val="20"/>
              </w:rPr>
              <w:t>Maturity</w:t>
            </w:r>
          </w:p>
        </w:tc>
        <w:tc>
          <w:tcPr>
            <w:tcW w:type="dxa" w:w="1757"/>
            <w:shd w:val="clear" w:color="auto" w:fill="000050"/>
          </w:tcPr>
          <w:p>
            <w:r>
              <w:rPr>
                <w:b/>
                <w:color w:val="FFFFFF"/>
                <w:sz w:val="20"/>
              </w:rPr>
              <w:t>In Production</w:t>
            </w:r>
          </w:p>
        </w:tc>
        <w:tc>
          <w:tcPr>
            <w:tcW w:type="dxa" w:w="1757"/>
            <w:shd w:val="clear" w:color="auto" w:fill="000050"/>
          </w:tcPr>
          <w:p>
            <w:r>
              <w:rPr>
                <w:b/>
                <w:color w:val="FFFFFF"/>
                <w:sz w:val="20"/>
              </w:rPr>
              <w:t>WIP</w:t>
            </w:r>
          </w:p>
        </w:tc>
        <w:tc>
          <w:tcPr>
            <w:tcW w:type="dxa" w:w="1757"/>
            <w:shd w:val="clear" w:color="auto" w:fill="000050"/>
          </w:tcPr>
          <w:p>
            <w:r>
              <w:rPr>
                <w:b/>
                <w:color w:val="FFFFFF"/>
                <w:sz w:val="20"/>
              </w:rPr>
              <w:t>Key Risk</w:t>
            </w:r>
          </w:p>
        </w:tc>
      </w:tr>
      <w:tr>
        <w:tc>
          <w:tcPr>
            <w:tcW w:type="dxa" w:w="1757"/>
            <w:shd w:val="clear" w:color="auto" w:fill="F0F0FF"/>
          </w:tcPr>
          <w:p>
            <w:r>
              <w:rPr>
                <w:sz w:val="18"/>
              </w:rPr>
              <w:t>Content &amp; Creative Studio</w:t>
            </w:r>
          </w:p>
        </w:tc>
        <w:tc>
          <w:tcPr>
            <w:tcW w:type="dxa" w:w="1757"/>
            <w:shd w:val="clear" w:color="auto" w:fill="F0F0FF"/>
          </w:tcPr>
          <w:p>
            <w:r>
              <w:rPr>
                <w:sz w:val="18"/>
              </w:rPr>
              <w:t>Scaling</w:t>
            </w:r>
          </w:p>
        </w:tc>
        <w:tc>
          <w:tcPr>
            <w:tcW w:type="dxa" w:w="1757"/>
            <w:shd w:val="clear" w:color="auto" w:fill="F0F0FF"/>
          </w:tcPr>
          <w:p>
            <w:r>
              <w:rPr>
                <w:sz w:val="18"/>
              </w:rPr>
              <w:t>~8</w:t>
            </w:r>
          </w:p>
        </w:tc>
        <w:tc>
          <w:tcPr>
            <w:tcW w:type="dxa" w:w="1757"/>
            <w:shd w:val="clear" w:color="auto" w:fill="F0F0FF"/>
          </w:tcPr>
          <w:p>
            <w:r>
              <w:rPr>
                <w:sz w:val="18"/>
              </w:rPr>
              <w:t>~12</w:t>
            </w:r>
          </w:p>
        </w:tc>
        <w:tc>
          <w:tcPr>
            <w:tcW w:type="dxa" w:w="1757"/>
            <w:shd w:val="clear" w:color="auto" w:fill="F0F0FF"/>
          </w:tcPr>
          <w:p>
            <w:r>
              <w:rPr>
                <w:sz w:val="18"/>
              </w:rPr>
              <w:t>Platform fragmentation</w:t>
            </w:r>
          </w:p>
        </w:tc>
      </w:tr>
      <w:tr>
        <w:tc>
          <w:tcPr>
            <w:tcW w:type="dxa" w:w="1757"/>
          </w:tcPr>
          <w:p>
            <w:r>
              <w:rPr>
                <w:sz w:val="18"/>
              </w:rPr>
              <w:t>Insights &amp; Analytics Acceleration</w:t>
            </w:r>
          </w:p>
        </w:tc>
        <w:tc>
          <w:tcPr>
            <w:tcW w:type="dxa" w:w="1757"/>
          </w:tcPr>
          <w:p>
            <w:r>
              <w:rPr>
                <w:sz w:val="18"/>
              </w:rPr>
              <w:t>Producing</w:t>
            </w:r>
          </w:p>
        </w:tc>
        <w:tc>
          <w:tcPr>
            <w:tcW w:type="dxa" w:w="1757"/>
          </w:tcPr>
          <w:p>
            <w:r>
              <w:rPr>
                <w:sz w:val="18"/>
              </w:rPr>
              <w:t>~14</w:t>
            </w:r>
          </w:p>
        </w:tc>
        <w:tc>
          <w:tcPr>
            <w:tcW w:type="dxa" w:w="1757"/>
          </w:tcPr>
          <w:p>
            <w:r>
              <w:rPr>
                <w:sz w:val="18"/>
              </w:rPr>
              <w:t>~9</w:t>
            </w:r>
          </w:p>
        </w:tc>
        <w:tc>
          <w:tcPr>
            <w:tcW w:type="dxa" w:w="1757"/>
          </w:tcPr>
          <w:p>
            <w:r>
              <w:rPr>
                <w:sz w:val="18"/>
              </w:rPr>
              <w:t>Data governance</w:t>
            </w:r>
          </w:p>
        </w:tc>
      </w:tr>
      <w:tr>
        <w:tc>
          <w:tcPr>
            <w:tcW w:type="dxa" w:w="1757"/>
            <w:shd w:val="clear" w:color="auto" w:fill="F0F0FF"/>
          </w:tcPr>
          <w:p>
            <w:r>
              <w:rPr>
                <w:sz w:val="18"/>
              </w:rPr>
              <w:t>Productivity &amp; Automation</w:t>
            </w:r>
          </w:p>
        </w:tc>
        <w:tc>
          <w:tcPr>
            <w:tcW w:type="dxa" w:w="1757"/>
            <w:shd w:val="clear" w:color="auto" w:fill="F0F0FF"/>
          </w:tcPr>
          <w:p>
            <w:r>
              <w:rPr>
                <w:sz w:val="18"/>
              </w:rPr>
              <w:t>Scaling</w:t>
            </w:r>
          </w:p>
        </w:tc>
        <w:tc>
          <w:tcPr>
            <w:tcW w:type="dxa" w:w="1757"/>
            <w:shd w:val="clear" w:color="auto" w:fill="F0F0FF"/>
          </w:tcPr>
          <w:p>
            <w:r>
              <w:rPr>
                <w:sz w:val="18"/>
              </w:rPr>
              <w:t>~10</w:t>
            </w:r>
          </w:p>
        </w:tc>
        <w:tc>
          <w:tcPr>
            <w:tcW w:type="dxa" w:w="1757"/>
            <w:shd w:val="clear" w:color="auto" w:fill="F0F0FF"/>
          </w:tcPr>
          <w:p>
            <w:r>
              <w:rPr>
                <w:sz w:val="18"/>
              </w:rPr>
              <w:t>~11</w:t>
            </w:r>
          </w:p>
        </w:tc>
        <w:tc>
          <w:tcPr>
            <w:tcW w:type="dxa" w:w="1757"/>
            <w:shd w:val="clear" w:color="auto" w:fill="F0F0FF"/>
          </w:tcPr>
          <w:p>
            <w:r>
              <w:rPr>
                <w:sz w:val="18"/>
              </w:rPr>
              <w:t>Change management</w:t>
            </w:r>
          </w:p>
        </w:tc>
      </w:tr>
      <w:tr>
        <w:tc>
          <w:tcPr>
            <w:tcW w:type="dxa" w:w="1757"/>
          </w:tcPr>
          <w:p>
            <w:r>
              <w:rPr>
                <w:sz w:val="18"/>
              </w:rPr>
              <w:t>Customer &amp; Field Engagement</w:t>
            </w:r>
          </w:p>
        </w:tc>
        <w:tc>
          <w:tcPr>
            <w:tcW w:type="dxa" w:w="1757"/>
          </w:tcPr>
          <w:p>
            <w:r>
              <w:rPr>
                <w:sz w:val="18"/>
              </w:rPr>
              <w:t>Producing</w:t>
            </w:r>
          </w:p>
        </w:tc>
        <w:tc>
          <w:tcPr>
            <w:tcW w:type="dxa" w:w="1757"/>
          </w:tcPr>
          <w:p>
            <w:r>
              <w:rPr>
                <w:sz w:val="18"/>
              </w:rPr>
              <w:t>~12</w:t>
            </w:r>
          </w:p>
        </w:tc>
        <w:tc>
          <w:tcPr>
            <w:tcW w:type="dxa" w:w="1757"/>
          </w:tcPr>
          <w:p>
            <w:r>
              <w:rPr>
                <w:sz w:val="18"/>
              </w:rPr>
              <w:t>~6</w:t>
            </w:r>
          </w:p>
        </w:tc>
        <w:tc>
          <w:tcPr>
            <w:tcW w:type="dxa" w:w="1757"/>
          </w:tcPr>
          <w:p>
            <w:r>
              <w:rPr>
                <w:sz w:val="18"/>
              </w:rPr>
              <w:t>Compliance / regulatory</w:t>
            </w:r>
          </w:p>
        </w:tc>
      </w:tr>
      <w:tr>
        <w:tc>
          <w:tcPr>
            <w:tcW w:type="dxa" w:w="1757"/>
            <w:shd w:val="clear" w:color="auto" w:fill="F0F0FF"/>
          </w:tcPr>
          <w:p>
            <w:r>
              <w:rPr>
                <w:sz w:val="18"/>
              </w:rPr>
              <w:t>Engineering &amp; Development</w:t>
            </w:r>
          </w:p>
        </w:tc>
        <w:tc>
          <w:tcPr>
            <w:tcW w:type="dxa" w:w="1757"/>
            <w:shd w:val="clear" w:color="auto" w:fill="F0F0FF"/>
          </w:tcPr>
          <w:p>
            <w:r>
              <w:rPr>
                <w:sz w:val="18"/>
              </w:rPr>
              <w:t>Scaling</w:t>
            </w:r>
          </w:p>
        </w:tc>
        <w:tc>
          <w:tcPr>
            <w:tcW w:type="dxa" w:w="1757"/>
            <w:shd w:val="clear" w:color="auto" w:fill="F0F0FF"/>
          </w:tcPr>
          <w:p>
            <w:r>
              <w:rPr>
                <w:sz w:val="18"/>
              </w:rPr>
              <w:t>~6</w:t>
            </w:r>
          </w:p>
        </w:tc>
        <w:tc>
          <w:tcPr>
            <w:tcW w:type="dxa" w:w="1757"/>
            <w:shd w:val="clear" w:color="auto" w:fill="F0F0FF"/>
          </w:tcPr>
          <w:p>
            <w:r>
              <w:rPr>
                <w:sz w:val="18"/>
              </w:rPr>
              <w:t>~8</w:t>
            </w:r>
          </w:p>
        </w:tc>
        <w:tc>
          <w:tcPr>
            <w:tcW w:type="dxa" w:w="1757"/>
            <w:shd w:val="clear" w:color="auto" w:fill="F0F0FF"/>
          </w:tcPr>
          <w:p>
            <w:r>
              <w:rPr>
                <w:sz w:val="18"/>
              </w:rPr>
              <w:t>Talent / skill gaps</w:t>
            </w:r>
          </w:p>
        </w:tc>
      </w:tr>
      <w:tr>
        <w:tc>
          <w:tcPr>
            <w:tcW w:type="dxa" w:w="1757"/>
          </w:tcPr>
          <w:p>
            <w:r>
              <w:rPr>
                <w:sz w:val="18"/>
              </w:rPr>
              <w:t>Learning, Compliance &amp; Governance</w:t>
            </w:r>
          </w:p>
        </w:tc>
        <w:tc>
          <w:tcPr>
            <w:tcW w:type="dxa" w:w="1757"/>
          </w:tcPr>
          <w:p>
            <w:r>
              <w:rPr>
                <w:sz w:val="18"/>
              </w:rPr>
              <w:t>Exploring</w:t>
            </w:r>
          </w:p>
        </w:tc>
        <w:tc>
          <w:tcPr>
            <w:tcW w:type="dxa" w:w="1757"/>
          </w:tcPr>
          <w:p>
            <w:r>
              <w:rPr>
                <w:sz w:val="18"/>
              </w:rPr>
              <w:t>~2</w:t>
            </w:r>
          </w:p>
        </w:tc>
        <w:tc>
          <w:tcPr>
            <w:tcW w:type="dxa" w:w="1757"/>
          </w:tcPr>
          <w:p>
            <w:r>
              <w:rPr>
                <w:sz w:val="18"/>
              </w:rPr>
              <w:t>~5</w:t>
            </w:r>
          </w:p>
        </w:tc>
        <w:tc>
          <w:tcPr>
            <w:tcW w:type="dxa" w:w="1757"/>
          </w:tcPr>
          <w:p>
            <w:r>
              <w:rPr>
                <w:sz w:val="18"/>
              </w:rPr>
              <w:t>Sensitivity / risk aversion</w:t>
            </w:r>
          </w:p>
        </w:tc>
      </w:tr>
    </w:tbl>
    <w:p>
      <w:r>
        <w:br w:type="page"/>
      </w:r>
    </w:p>
    <w:p>
      <w:pPr>
        <w:spacing w:before="240" w:after="120"/>
      </w:pPr>
      <w:r>
        <w:rPr>
          <w:b/>
          <w:color w:val="000050"/>
          <w:sz w:val="36"/>
        </w:rPr>
        <w:t>3. Six Capability Domains</w:t>
      </w:r>
    </w:p>
    <w:p>
      <w:r>
        <w:t>Abbott's 15 raw GenAI capability categories have been logically grouped into six strategic domains that align with business outcomes, platform investments, and organizational structure.</w:t>
      </w:r>
    </w:p>
    <w:p/>
    <w:p>
      <w:pPr>
        <w:spacing w:before="240" w:after="120"/>
      </w:pPr>
      <w:r>
        <w:rPr>
          <w:b/>
          <w:color w:val="000050"/>
          <w:sz w:val="28"/>
        </w:rPr>
        <w:t>Domain 1: Content &amp; Creative Studio</w:t>
      </w:r>
    </w:p>
    <w:p>
      <w:r>
        <w:rPr>
          <w:b/>
        </w:rPr>
        <w:t xml:space="preserve">Maturity: </w:t>
      </w:r>
      <w:r>
        <w:t>Scaling</w:t>
      </w:r>
    </w:p>
    <w:p>
      <w:r>
        <w:t>Generation, drafting, and transformation of written, visual, and multimedia content for internal and external audiences — spanning marketing copy, medical communications, training materials, and brand assets.</w:t>
      </w:r>
    </w:p>
    <w:p>
      <w:pPr>
        <w:spacing w:before="240" w:after="120"/>
      </w:pPr>
      <w:r>
        <w:rPr>
          <w:b/>
          <w:color w:val="000050"/>
          <w:sz w:val="24"/>
        </w:rPr>
        <w:t>Sub-capabilities &amp; Details</w:t>
      </w:r>
    </w:p>
    <w:tbl>
      <w:tblPr>
        <w:tblStyle w:val="TableGrid"/>
        <w:tblW w:type="auto" w:w="0"/>
        <w:jc w:val="left"/>
        <w:tblLook w:firstColumn="1" w:firstRow="1" w:lastColumn="0" w:lastRow="0" w:noHBand="0" w:noVBand="1" w:val="04A0"/>
      </w:tblPr>
      <w:tblGrid>
        <w:gridCol w:w="4320"/>
        <w:gridCol w:w="2160"/>
        <w:gridCol w:w="5040"/>
      </w:tblGrid>
      <w:tr>
        <w:tc>
          <w:tcPr>
            <w:tcW w:type="dxa" w:w="2928"/>
            <w:shd w:val="clear" w:color="auto" w:fill="000050"/>
          </w:tcPr>
          <w:p>
            <w:r>
              <w:rPr>
                <w:b/>
                <w:color w:val="FFFFFF"/>
                <w:sz w:val="20"/>
              </w:rPr>
              <w:t>Sub-Capability</w:t>
            </w:r>
          </w:p>
        </w:tc>
        <w:tc>
          <w:tcPr>
            <w:tcW w:type="dxa" w:w="2928"/>
            <w:shd w:val="clear" w:color="auto" w:fill="000050"/>
          </w:tcPr>
          <w:p>
            <w:r>
              <w:rPr>
                <w:b/>
                <w:color w:val="FFFFFF"/>
                <w:sz w:val="20"/>
              </w:rPr>
              <w:t>Status</w:t>
            </w:r>
          </w:p>
        </w:tc>
        <w:tc>
          <w:tcPr>
            <w:tcW w:type="dxa" w:w="2928"/>
            <w:shd w:val="clear" w:color="auto" w:fill="000050"/>
          </w:tcPr>
          <w:p>
            <w:r>
              <w:rPr>
                <w:b/>
                <w:color w:val="FFFFFF"/>
                <w:sz w:val="20"/>
              </w:rPr>
              <w:t>Notes</w:t>
            </w:r>
          </w:p>
        </w:tc>
      </w:tr>
      <w:tr>
        <w:tc>
          <w:tcPr>
            <w:tcW w:type="dxa" w:w="2928"/>
            <w:shd w:val="clear" w:color="auto" w:fill="F0F0FF"/>
          </w:tcPr>
          <w:p>
            <w:r>
              <w:rPr>
                <w:sz w:val="18"/>
              </w:rPr>
              <w:t>Creative Content Draft</w:t>
            </w:r>
          </w:p>
        </w:tc>
        <w:tc>
          <w:tcPr>
            <w:tcW w:type="dxa" w:w="2928"/>
            <w:shd w:val="clear" w:color="auto" w:fill="F0F0FF"/>
          </w:tcPr>
          <w:p>
            <w:r>
              <w:rPr>
                <w:sz w:val="18"/>
              </w:rPr>
              <w:t>Active</w:t>
            </w:r>
          </w:p>
        </w:tc>
        <w:tc>
          <w:tcPr>
            <w:tcW w:type="dxa" w:w="2928"/>
            <w:shd w:val="clear" w:color="auto" w:fill="F0F0FF"/>
          </w:tcPr>
          <w:p>
            <w:r>
              <w:rPr>
                <w:sz w:val="18"/>
              </w:rPr>
            </w:r>
          </w:p>
        </w:tc>
      </w:tr>
      <w:tr>
        <w:tc>
          <w:tcPr>
            <w:tcW w:type="dxa" w:w="2928"/>
          </w:tcPr>
          <w:p>
            <w:r>
              <w:rPr>
                <w:sz w:val="18"/>
              </w:rPr>
              <w:t>Writing Drafts &amp; Data Entry</w:t>
            </w:r>
          </w:p>
        </w:tc>
        <w:tc>
          <w:tcPr>
            <w:tcW w:type="dxa" w:w="2928"/>
          </w:tcPr>
          <w:p>
            <w:r>
              <w:rPr>
                <w:sz w:val="18"/>
              </w:rPr>
              <w:t>Active</w:t>
            </w:r>
          </w:p>
        </w:tc>
        <w:tc>
          <w:tcPr>
            <w:tcW w:type="dxa" w:w="2928"/>
          </w:tcPr>
          <w:p>
            <w:r>
              <w:rPr>
                <w:sz w:val="18"/>
              </w:rPr>
            </w:r>
          </w:p>
        </w:tc>
      </w:tr>
      <w:tr>
        <w:tc>
          <w:tcPr>
            <w:tcW w:type="dxa" w:w="2928"/>
            <w:shd w:val="clear" w:color="auto" w:fill="F0F0FF"/>
          </w:tcPr>
          <w:p>
            <w:r>
              <w:rPr>
                <w:sz w:val="18"/>
              </w:rPr>
              <w:t>Personalize Content</w:t>
            </w:r>
          </w:p>
        </w:tc>
        <w:tc>
          <w:tcPr>
            <w:tcW w:type="dxa" w:w="2928"/>
            <w:shd w:val="clear" w:color="auto" w:fill="F0F0FF"/>
          </w:tcPr>
          <w:p>
            <w:r>
              <w:rPr>
                <w:sz w:val="18"/>
              </w:rPr>
              <w:t>Active</w:t>
            </w:r>
          </w:p>
        </w:tc>
        <w:tc>
          <w:tcPr>
            <w:tcW w:type="dxa" w:w="2928"/>
            <w:shd w:val="clear" w:color="auto" w:fill="F0F0FF"/>
          </w:tcPr>
          <w:p>
            <w:r>
              <w:rPr>
                <w:sz w:val="18"/>
              </w:rPr>
            </w:r>
          </w:p>
        </w:tc>
      </w:tr>
      <w:tr>
        <w:tc>
          <w:tcPr>
            <w:tcW w:type="dxa" w:w="2928"/>
          </w:tcPr>
          <w:p>
            <w:r>
              <w:rPr>
                <w:sz w:val="18"/>
              </w:rPr>
              <w:t>Translation</w:t>
            </w:r>
          </w:p>
        </w:tc>
        <w:tc>
          <w:tcPr>
            <w:tcW w:type="dxa" w:w="2928"/>
          </w:tcPr>
          <w:p>
            <w:r>
              <w:rPr>
                <w:sz w:val="18"/>
              </w:rPr>
              <w:t>Active</w:t>
            </w:r>
          </w:p>
        </w:tc>
        <w:tc>
          <w:tcPr>
            <w:tcW w:type="dxa" w:w="2928"/>
          </w:tcPr>
          <w:p>
            <w:r>
              <w:rPr>
                <w:sz w:val="18"/>
              </w:rPr>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DDDDF8"/>
          </w:tcPr>
          <w:p>
            <w:r>
              <w:rPr>
                <w:b/>
                <w:color w:val="000050"/>
                <w:sz w:val="18"/>
              </w:rPr>
              <w:t>In-Production Tools</w:t>
            </w:r>
          </w:p>
        </w:tc>
        <w:tc>
          <w:tcPr>
            <w:tcW w:type="dxa" w:w="4392"/>
          </w:tcPr>
          <w:p>
            <w:r>
              <w:rPr>
                <w:sz w:val="18"/>
              </w:rPr>
              <w:t>Writer Newsroom (GMEA), Adobe Firefly/Express (RMDx), AutogenAI (AN)</w:t>
            </w:r>
          </w:p>
        </w:tc>
      </w:tr>
      <w:tr>
        <w:tc>
          <w:tcPr>
            <w:tcW w:type="dxa" w:w="4392"/>
            <w:shd w:val="clear" w:color="auto" w:fill="DDDDF8"/>
          </w:tcPr>
          <w:p>
            <w:r>
              <w:rPr>
                <w:b/>
                <w:color w:val="000050"/>
                <w:sz w:val="18"/>
              </w:rPr>
              <w:t>Divisions Using</w:t>
            </w:r>
          </w:p>
        </w:tc>
        <w:tc>
          <w:tcPr>
            <w:tcW w:type="dxa" w:w="4392"/>
          </w:tcPr>
          <w:p>
            <w:r>
              <w:rPr>
                <w:sz w:val="18"/>
              </w:rPr>
              <w:t>ADC, Corp, EPD, GMEA, RMDx, CHR, MD</w:t>
            </w:r>
          </w:p>
        </w:tc>
      </w:tr>
      <w:tr>
        <w:tc>
          <w:tcPr>
            <w:tcW w:type="dxa" w:w="4392"/>
            <w:shd w:val="clear" w:color="auto" w:fill="DDDDF8"/>
          </w:tcPr>
          <w:p>
            <w:r>
              <w:rPr>
                <w:b/>
                <w:color w:val="000050"/>
                <w:sz w:val="18"/>
              </w:rPr>
              <w:t>Example Use Cases</w:t>
            </w:r>
          </w:p>
        </w:tc>
        <w:tc>
          <w:tcPr>
            <w:tcW w:type="dxa" w:w="4392"/>
          </w:tcPr>
          <w:p>
            <w:r>
              <w:rPr>
                <w:sz w:val="18"/>
              </w:rPr>
              <w:t>Personalized HCP marketing content (ADC) | Medical affairs document generation (Corp) | Field rep communication drafts (EPD)</w:t>
            </w:r>
          </w:p>
        </w:tc>
      </w:tr>
    </w:tbl>
    <w:p/>
    <w:p>
      <w:pPr>
        <w:spacing w:before="240" w:after="120"/>
      </w:pPr>
      <w:r>
        <w:rPr>
          <w:b/>
          <w:color w:val="000050"/>
          <w:sz w:val="28"/>
        </w:rPr>
        <w:t>Domain 2: Insights &amp; Analytics Acceleration</w:t>
      </w:r>
    </w:p>
    <w:p>
      <w:r>
        <w:rPr>
          <w:b/>
        </w:rPr>
        <w:t xml:space="preserve">Maturity: </w:t>
      </w:r>
      <w:r>
        <w:t>Producing</w:t>
      </w:r>
    </w:p>
    <w:p>
      <w:r>
        <w:t>AI-powered search, synthesis, and generation of insights from structured and unstructured data — including literature review, market intelligence, clinical data, and business reporting.</w:t>
      </w:r>
    </w:p>
    <w:p>
      <w:pPr>
        <w:spacing w:before="240" w:after="120"/>
      </w:pPr>
      <w:r>
        <w:rPr>
          <w:b/>
          <w:color w:val="000050"/>
          <w:sz w:val="24"/>
        </w:rPr>
        <w:t>Sub-capabilities &amp; Details</w:t>
      </w:r>
    </w:p>
    <w:tbl>
      <w:tblPr>
        <w:tblStyle w:val="TableGrid"/>
        <w:tblW w:type="auto" w:w="0"/>
        <w:jc w:val="left"/>
        <w:tblLook w:firstColumn="1" w:firstRow="1" w:lastColumn="0" w:lastRow="0" w:noHBand="0" w:noVBand="1" w:val="04A0"/>
      </w:tblPr>
      <w:tblGrid>
        <w:gridCol w:w="4320"/>
        <w:gridCol w:w="2160"/>
        <w:gridCol w:w="5040"/>
      </w:tblGrid>
      <w:tr>
        <w:tc>
          <w:tcPr>
            <w:tcW w:type="dxa" w:w="2928"/>
            <w:shd w:val="clear" w:color="auto" w:fill="000050"/>
          </w:tcPr>
          <w:p>
            <w:r>
              <w:rPr>
                <w:b/>
                <w:color w:val="FFFFFF"/>
                <w:sz w:val="20"/>
              </w:rPr>
              <w:t>Sub-Capability</w:t>
            </w:r>
          </w:p>
        </w:tc>
        <w:tc>
          <w:tcPr>
            <w:tcW w:type="dxa" w:w="2928"/>
            <w:shd w:val="clear" w:color="auto" w:fill="000050"/>
          </w:tcPr>
          <w:p>
            <w:r>
              <w:rPr>
                <w:b/>
                <w:color w:val="FFFFFF"/>
                <w:sz w:val="20"/>
              </w:rPr>
              <w:t>Status</w:t>
            </w:r>
          </w:p>
        </w:tc>
        <w:tc>
          <w:tcPr>
            <w:tcW w:type="dxa" w:w="2928"/>
            <w:shd w:val="clear" w:color="auto" w:fill="000050"/>
          </w:tcPr>
          <w:p>
            <w:r>
              <w:rPr>
                <w:b/>
                <w:color w:val="FFFFFF"/>
                <w:sz w:val="20"/>
              </w:rPr>
              <w:t>Notes</w:t>
            </w:r>
          </w:p>
        </w:tc>
      </w:tr>
      <w:tr>
        <w:tc>
          <w:tcPr>
            <w:tcW w:type="dxa" w:w="2928"/>
            <w:shd w:val="clear" w:color="auto" w:fill="F0F0FF"/>
          </w:tcPr>
          <w:p>
            <w:r>
              <w:rPr>
                <w:sz w:val="18"/>
              </w:rPr>
              <w:t>Search, Screen &amp; Insights</w:t>
            </w:r>
          </w:p>
        </w:tc>
        <w:tc>
          <w:tcPr>
            <w:tcW w:type="dxa" w:w="2928"/>
            <w:shd w:val="clear" w:color="auto" w:fill="F0F0FF"/>
          </w:tcPr>
          <w:p>
            <w:r>
              <w:rPr>
                <w:sz w:val="18"/>
              </w:rPr>
              <w:t>Active</w:t>
            </w:r>
          </w:p>
        </w:tc>
        <w:tc>
          <w:tcPr>
            <w:tcW w:type="dxa" w:w="2928"/>
            <w:shd w:val="clear" w:color="auto" w:fill="F0F0FF"/>
          </w:tcPr>
          <w:p>
            <w:r>
              <w:rPr>
                <w:sz w:val="18"/>
              </w:rPr>
            </w:r>
          </w:p>
        </w:tc>
      </w:tr>
      <w:tr>
        <w:tc>
          <w:tcPr>
            <w:tcW w:type="dxa" w:w="2928"/>
          </w:tcPr>
          <w:p>
            <w:r>
              <w:rPr>
                <w:sz w:val="18"/>
              </w:rPr>
              <w:t>Reporting &amp; Observability</w:t>
            </w:r>
          </w:p>
        </w:tc>
        <w:tc>
          <w:tcPr>
            <w:tcW w:type="dxa" w:w="2928"/>
          </w:tcPr>
          <w:p>
            <w:r>
              <w:rPr>
                <w:sz w:val="18"/>
              </w:rPr>
              <w:t>Active</w:t>
            </w:r>
          </w:p>
        </w:tc>
        <w:tc>
          <w:tcPr>
            <w:tcW w:type="dxa" w:w="2928"/>
          </w:tcPr>
          <w:p>
            <w:r>
              <w:rPr>
                <w:sz w:val="18"/>
              </w:rPr>
            </w:r>
          </w:p>
        </w:tc>
      </w:tr>
      <w:tr>
        <w:tc>
          <w:tcPr>
            <w:tcW w:type="dxa" w:w="2928"/>
            <w:shd w:val="clear" w:color="auto" w:fill="F0F0FF"/>
          </w:tcPr>
          <w:p>
            <w:r>
              <w:rPr>
                <w:sz w:val="18"/>
              </w:rPr>
              <w:t>Forecast</w:t>
            </w:r>
          </w:p>
        </w:tc>
        <w:tc>
          <w:tcPr>
            <w:tcW w:type="dxa" w:w="2928"/>
            <w:shd w:val="clear" w:color="auto" w:fill="F0F0FF"/>
          </w:tcPr>
          <w:p>
            <w:r>
              <w:rPr>
                <w:sz w:val="18"/>
              </w:rPr>
              <w:t>Active</w:t>
            </w:r>
          </w:p>
        </w:tc>
        <w:tc>
          <w:tcPr>
            <w:tcW w:type="dxa" w:w="2928"/>
            <w:shd w:val="clear" w:color="auto" w:fill="F0F0FF"/>
          </w:tcPr>
          <w:p>
            <w:r>
              <w:rPr>
                <w:sz w:val="18"/>
              </w:rPr>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DDDDF8"/>
          </w:tcPr>
          <w:p>
            <w:r>
              <w:rPr>
                <w:b/>
                <w:color w:val="000050"/>
                <w:sz w:val="18"/>
              </w:rPr>
              <w:t>In-Production Tools</w:t>
            </w:r>
          </w:p>
        </w:tc>
        <w:tc>
          <w:tcPr>
            <w:tcW w:type="dxa" w:w="4392"/>
          </w:tcPr>
          <w:p>
            <w:r>
              <w:rPr>
                <w:sz w:val="18"/>
              </w:rPr>
              <w:t>Marketing Insights Accelerator (GMEA), RADIA Research (AN), Databricks (RMDx)</w:t>
            </w:r>
          </w:p>
        </w:tc>
      </w:tr>
      <w:tr>
        <w:tc>
          <w:tcPr>
            <w:tcW w:type="dxa" w:w="4392"/>
            <w:shd w:val="clear" w:color="auto" w:fill="DDDDF8"/>
          </w:tcPr>
          <w:p>
            <w:r>
              <w:rPr>
                <w:b/>
                <w:color w:val="000050"/>
                <w:sz w:val="18"/>
              </w:rPr>
              <w:t>Divisions Using</w:t>
            </w:r>
          </w:p>
        </w:tc>
        <w:tc>
          <w:tcPr>
            <w:tcW w:type="dxa" w:w="4392"/>
          </w:tcPr>
          <w:p>
            <w:r>
              <w:rPr>
                <w:sz w:val="18"/>
              </w:rPr>
              <w:t>GMEA, AN, RMDx, BTS, ADC, Corp</w:t>
            </w:r>
          </w:p>
        </w:tc>
      </w:tr>
      <w:tr>
        <w:tc>
          <w:tcPr>
            <w:tcW w:type="dxa" w:w="4392"/>
            <w:shd w:val="clear" w:color="auto" w:fill="DDDDF8"/>
          </w:tcPr>
          <w:p>
            <w:r>
              <w:rPr>
                <w:b/>
                <w:color w:val="000050"/>
                <w:sz w:val="18"/>
              </w:rPr>
              <w:t>Example Use Cases</w:t>
            </w:r>
          </w:p>
        </w:tc>
        <w:tc>
          <w:tcPr>
            <w:tcW w:type="dxa" w:w="4392"/>
          </w:tcPr>
          <w:p>
            <w:r>
              <w:rPr>
                <w:sz w:val="18"/>
              </w:rPr>
              <w:t>Marketing Insights Accelerator (GMEA) | Clinical trial literature screening (AN) | Sales performance analytics (EPD, ADC)</w:t>
            </w:r>
          </w:p>
        </w:tc>
      </w:tr>
    </w:tbl>
    <w:p/>
    <w:p>
      <w:pPr>
        <w:spacing w:before="240" w:after="120"/>
      </w:pPr>
      <w:r>
        <w:rPr>
          <w:b/>
          <w:color w:val="000050"/>
          <w:sz w:val="28"/>
        </w:rPr>
        <w:t>Domain 3: Productivity &amp; Automation</w:t>
      </w:r>
    </w:p>
    <w:p>
      <w:r>
        <w:rPr>
          <w:b/>
        </w:rPr>
        <w:t xml:space="preserve">Maturity: </w:t>
      </w:r>
      <w:r>
        <w:t>Scaling</w:t>
      </w:r>
    </w:p>
    <w:p>
      <w:r>
        <w:t>Enterprise-wide productivity enhancement through AI-integrated tools — including meeting summarization, document management, workflow automation, and process intelligence embedded in everyday work tools.</w:t>
      </w:r>
    </w:p>
    <w:p>
      <w:pPr>
        <w:spacing w:before="240" w:after="120"/>
      </w:pPr>
      <w:r>
        <w:rPr>
          <w:b/>
          <w:color w:val="000050"/>
          <w:sz w:val="24"/>
        </w:rPr>
        <w:t>Sub-capabilities &amp; Details</w:t>
      </w:r>
    </w:p>
    <w:tbl>
      <w:tblPr>
        <w:tblStyle w:val="TableGrid"/>
        <w:tblW w:type="auto" w:w="0"/>
        <w:jc w:val="left"/>
        <w:tblLook w:firstColumn="1" w:firstRow="1" w:lastColumn="0" w:lastRow="0" w:noHBand="0" w:noVBand="1" w:val="04A0"/>
      </w:tblPr>
      <w:tblGrid>
        <w:gridCol w:w="4320"/>
        <w:gridCol w:w="2160"/>
        <w:gridCol w:w="5040"/>
      </w:tblGrid>
      <w:tr>
        <w:tc>
          <w:tcPr>
            <w:tcW w:type="dxa" w:w="2928"/>
            <w:shd w:val="clear" w:color="auto" w:fill="000050"/>
          </w:tcPr>
          <w:p>
            <w:r>
              <w:rPr>
                <w:b/>
                <w:color w:val="FFFFFF"/>
                <w:sz w:val="20"/>
              </w:rPr>
              <w:t>Sub-Capability</w:t>
            </w:r>
          </w:p>
        </w:tc>
        <w:tc>
          <w:tcPr>
            <w:tcW w:type="dxa" w:w="2928"/>
            <w:shd w:val="clear" w:color="auto" w:fill="000050"/>
          </w:tcPr>
          <w:p>
            <w:r>
              <w:rPr>
                <w:b/>
                <w:color w:val="FFFFFF"/>
                <w:sz w:val="20"/>
              </w:rPr>
              <w:t>Status</w:t>
            </w:r>
          </w:p>
        </w:tc>
        <w:tc>
          <w:tcPr>
            <w:tcW w:type="dxa" w:w="2928"/>
            <w:shd w:val="clear" w:color="auto" w:fill="000050"/>
          </w:tcPr>
          <w:p>
            <w:r>
              <w:rPr>
                <w:b/>
                <w:color w:val="FFFFFF"/>
                <w:sz w:val="20"/>
              </w:rPr>
              <w:t>Notes</w:t>
            </w:r>
          </w:p>
        </w:tc>
      </w:tr>
      <w:tr>
        <w:tc>
          <w:tcPr>
            <w:tcW w:type="dxa" w:w="2928"/>
            <w:shd w:val="clear" w:color="auto" w:fill="F0F0FF"/>
          </w:tcPr>
          <w:p>
            <w:r>
              <w:rPr>
                <w:sz w:val="18"/>
              </w:rPr>
              <w:t>Enterprise Productivity Tools</w:t>
            </w:r>
          </w:p>
        </w:tc>
        <w:tc>
          <w:tcPr>
            <w:tcW w:type="dxa" w:w="2928"/>
            <w:shd w:val="clear" w:color="auto" w:fill="F0F0FF"/>
          </w:tcPr>
          <w:p>
            <w:r>
              <w:rPr>
                <w:sz w:val="18"/>
              </w:rPr>
              <w:t>Active</w:t>
            </w:r>
          </w:p>
        </w:tc>
        <w:tc>
          <w:tcPr>
            <w:tcW w:type="dxa" w:w="2928"/>
            <w:shd w:val="clear" w:color="auto" w:fill="F0F0FF"/>
          </w:tcPr>
          <w:p>
            <w:r>
              <w:rPr>
                <w:sz w:val="18"/>
              </w:rPr>
            </w:r>
          </w:p>
        </w:tc>
      </w:tr>
      <w:tr>
        <w:tc>
          <w:tcPr>
            <w:tcW w:type="dxa" w:w="2928"/>
          </w:tcPr>
          <w:p>
            <w:r>
              <w:rPr>
                <w:sz w:val="18"/>
              </w:rPr>
              <w:t>Writing Drafts &amp; Data Entry</w:t>
            </w:r>
          </w:p>
        </w:tc>
        <w:tc>
          <w:tcPr>
            <w:tcW w:type="dxa" w:w="2928"/>
          </w:tcPr>
          <w:p>
            <w:r>
              <w:rPr>
                <w:sz w:val="18"/>
              </w:rPr>
              <w:t>Active</w:t>
            </w:r>
          </w:p>
        </w:tc>
        <w:tc>
          <w:tcPr>
            <w:tcW w:type="dxa" w:w="2928"/>
          </w:tcPr>
          <w:p>
            <w:r>
              <w:rPr>
                <w:sz w:val="18"/>
              </w:rPr>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DDDDF8"/>
          </w:tcPr>
          <w:p>
            <w:r>
              <w:rPr>
                <w:b/>
                <w:color w:val="000050"/>
                <w:sz w:val="18"/>
              </w:rPr>
              <w:t>In-Production Tools</w:t>
            </w:r>
          </w:p>
        </w:tc>
        <w:tc>
          <w:tcPr>
            <w:tcW w:type="dxa" w:w="4392"/>
          </w:tcPr>
          <w:p>
            <w:r>
              <w:rPr>
                <w:sz w:val="18"/>
              </w:rPr>
              <w:t>Microsoft M365 Copilot (BTS), Cursor/Windsurf/Atlassian AI (BTS), Five9 GSD (BTS)</w:t>
            </w:r>
          </w:p>
        </w:tc>
      </w:tr>
      <w:tr>
        <w:tc>
          <w:tcPr>
            <w:tcW w:type="dxa" w:w="4392"/>
            <w:shd w:val="clear" w:color="auto" w:fill="DDDDF8"/>
          </w:tcPr>
          <w:p>
            <w:r>
              <w:rPr>
                <w:b/>
                <w:color w:val="000050"/>
                <w:sz w:val="18"/>
              </w:rPr>
              <w:t>Divisions Using</w:t>
            </w:r>
          </w:p>
        </w:tc>
        <w:tc>
          <w:tcPr>
            <w:tcW w:type="dxa" w:w="4392"/>
          </w:tcPr>
          <w:p>
            <w:r>
              <w:rPr>
                <w:sz w:val="18"/>
              </w:rPr>
              <w:t>BTS, Corp, CHR, AN, MD, EPD</w:t>
            </w:r>
          </w:p>
        </w:tc>
      </w:tr>
      <w:tr>
        <w:tc>
          <w:tcPr>
            <w:tcW w:type="dxa" w:w="4392"/>
            <w:shd w:val="clear" w:color="auto" w:fill="DDDDF8"/>
          </w:tcPr>
          <w:p>
            <w:r>
              <w:rPr>
                <w:b/>
                <w:color w:val="000050"/>
                <w:sz w:val="18"/>
              </w:rPr>
              <w:t>Example Use Cases</w:t>
            </w:r>
          </w:p>
        </w:tc>
        <w:tc>
          <w:tcPr>
            <w:tcW w:type="dxa" w:w="4392"/>
          </w:tcPr>
          <w:p>
            <w:r>
              <w:rPr>
                <w:sz w:val="18"/>
              </w:rPr>
              <w:t>M365 Copilot enterprise rollout (BTS) | HR process automation (CHR) | Procurement document analysis (Corp)</w:t>
            </w:r>
          </w:p>
        </w:tc>
      </w:tr>
    </w:tbl>
    <w:p/>
    <w:p>
      <w:pPr>
        <w:spacing w:before="240" w:after="120"/>
      </w:pPr>
      <w:r>
        <w:rPr>
          <w:b/>
          <w:color w:val="000050"/>
          <w:sz w:val="28"/>
        </w:rPr>
        <w:t>Domain 4: Customer &amp; Field Engagement</w:t>
      </w:r>
    </w:p>
    <w:p>
      <w:r>
        <w:rPr>
          <w:b/>
        </w:rPr>
        <w:t xml:space="preserve">Maturity: </w:t>
      </w:r>
      <w:r>
        <w:t>Producing</w:t>
      </w:r>
    </w:p>
    <w:p>
      <w:r>
        <w:t>AI-powered tools that augment customer-facing roles — field sales, customer service, patient engagement, and HCP interactions — with intelligent assistants, next-best-action, and personalized recommendations.</w:t>
      </w:r>
    </w:p>
    <w:p>
      <w:pPr>
        <w:spacing w:before="240" w:after="120"/>
      </w:pPr>
      <w:r>
        <w:rPr>
          <w:b/>
          <w:color w:val="000050"/>
          <w:sz w:val="24"/>
        </w:rPr>
        <w:t>Sub-capabilities &amp; Details</w:t>
      </w:r>
    </w:p>
    <w:tbl>
      <w:tblPr>
        <w:tblStyle w:val="TableGrid"/>
        <w:tblW w:type="auto" w:w="0"/>
        <w:jc w:val="left"/>
        <w:tblLook w:firstColumn="1" w:firstRow="1" w:lastColumn="0" w:lastRow="0" w:noHBand="0" w:noVBand="1" w:val="04A0"/>
      </w:tblPr>
      <w:tblGrid>
        <w:gridCol w:w="4320"/>
        <w:gridCol w:w="2160"/>
        <w:gridCol w:w="5040"/>
      </w:tblGrid>
      <w:tr>
        <w:tc>
          <w:tcPr>
            <w:tcW w:type="dxa" w:w="2928"/>
            <w:shd w:val="clear" w:color="auto" w:fill="000050"/>
          </w:tcPr>
          <w:p>
            <w:r>
              <w:rPr>
                <w:b/>
                <w:color w:val="FFFFFF"/>
                <w:sz w:val="20"/>
              </w:rPr>
              <w:t>Sub-Capability</w:t>
            </w:r>
          </w:p>
        </w:tc>
        <w:tc>
          <w:tcPr>
            <w:tcW w:type="dxa" w:w="2928"/>
            <w:shd w:val="clear" w:color="auto" w:fill="000050"/>
          </w:tcPr>
          <w:p>
            <w:r>
              <w:rPr>
                <w:b/>
                <w:color w:val="FFFFFF"/>
                <w:sz w:val="20"/>
              </w:rPr>
              <w:t>Status</w:t>
            </w:r>
          </w:p>
        </w:tc>
        <w:tc>
          <w:tcPr>
            <w:tcW w:type="dxa" w:w="2928"/>
            <w:shd w:val="clear" w:color="auto" w:fill="000050"/>
          </w:tcPr>
          <w:p>
            <w:r>
              <w:rPr>
                <w:b/>
                <w:color w:val="FFFFFF"/>
                <w:sz w:val="20"/>
              </w:rPr>
              <w:t>Notes</w:t>
            </w:r>
          </w:p>
        </w:tc>
      </w:tr>
      <w:tr>
        <w:tc>
          <w:tcPr>
            <w:tcW w:type="dxa" w:w="2928"/>
            <w:shd w:val="clear" w:color="auto" w:fill="F0F0FF"/>
          </w:tcPr>
          <w:p>
            <w:r>
              <w:rPr>
                <w:sz w:val="18"/>
              </w:rPr>
              <w:t>Assistants</w:t>
            </w:r>
          </w:p>
        </w:tc>
        <w:tc>
          <w:tcPr>
            <w:tcW w:type="dxa" w:w="2928"/>
            <w:shd w:val="clear" w:color="auto" w:fill="F0F0FF"/>
          </w:tcPr>
          <w:p>
            <w:r>
              <w:rPr>
                <w:sz w:val="18"/>
              </w:rPr>
              <w:t>Active</w:t>
            </w:r>
          </w:p>
        </w:tc>
        <w:tc>
          <w:tcPr>
            <w:tcW w:type="dxa" w:w="2928"/>
            <w:shd w:val="clear" w:color="auto" w:fill="F0F0FF"/>
          </w:tcPr>
          <w:p>
            <w:r>
              <w:rPr>
                <w:sz w:val="18"/>
              </w:rPr>
            </w:r>
          </w:p>
        </w:tc>
      </w:tr>
      <w:tr>
        <w:tc>
          <w:tcPr>
            <w:tcW w:type="dxa" w:w="2928"/>
          </w:tcPr>
          <w:p>
            <w:r>
              <w:rPr>
                <w:sz w:val="18"/>
              </w:rPr>
              <w:t>Personalize Content</w:t>
            </w:r>
          </w:p>
        </w:tc>
        <w:tc>
          <w:tcPr>
            <w:tcW w:type="dxa" w:w="2928"/>
          </w:tcPr>
          <w:p>
            <w:r>
              <w:rPr>
                <w:sz w:val="18"/>
              </w:rPr>
              <w:t>Active</w:t>
            </w:r>
          </w:p>
        </w:tc>
        <w:tc>
          <w:tcPr>
            <w:tcW w:type="dxa" w:w="2928"/>
          </w:tcPr>
          <w:p>
            <w:r>
              <w:rPr>
                <w:sz w:val="18"/>
              </w:rPr>
            </w:r>
          </w:p>
        </w:tc>
      </w:tr>
      <w:tr>
        <w:tc>
          <w:tcPr>
            <w:tcW w:type="dxa" w:w="2928"/>
            <w:shd w:val="clear" w:color="auto" w:fill="F0F0FF"/>
          </w:tcPr>
          <w:p>
            <w:r>
              <w:rPr>
                <w:sz w:val="18"/>
              </w:rPr>
              <w:t>Search &amp; CRM Insights</w:t>
            </w:r>
          </w:p>
        </w:tc>
        <w:tc>
          <w:tcPr>
            <w:tcW w:type="dxa" w:w="2928"/>
            <w:shd w:val="clear" w:color="auto" w:fill="F0F0FF"/>
          </w:tcPr>
          <w:p>
            <w:r>
              <w:rPr>
                <w:sz w:val="18"/>
              </w:rPr>
              <w:t>Active</w:t>
            </w:r>
          </w:p>
        </w:tc>
        <w:tc>
          <w:tcPr>
            <w:tcW w:type="dxa" w:w="2928"/>
            <w:shd w:val="clear" w:color="auto" w:fill="F0F0FF"/>
          </w:tcPr>
          <w:p>
            <w:r>
              <w:rPr>
                <w:sz w:val="18"/>
              </w:rPr>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DDDDF8"/>
          </w:tcPr>
          <w:p>
            <w:r>
              <w:rPr>
                <w:b/>
                <w:color w:val="000050"/>
                <w:sz w:val="18"/>
              </w:rPr>
              <w:t>In-Production Tools</w:t>
            </w:r>
          </w:p>
        </w:tc>
        <w:tc>
          <w:tcPr>
            <w:tcW w:type="dxa" w:w="4392"/>
          </w:tcPr>
          <w:p>
            <w:r>
              <w:rPr>
                <w:sz w:val="18"/>
              </w:rPr>
              <w:t>SmartRep Call Planning (EPD), Neuron7 (CoreDx), Five9 GSD (BTS)</w:t>
            </w:r>
          </w:p>
        </w:tc>
      </w:tr>
      <w:tr>
        <w:tc>
          <w:tcPr>
            <w:tcW w:type="dxa" w:w="4392"/>
            <w:shd w:val="clear" w:color="auto" w:fill="DDDDF8"/>
          </w:tcPr>
          <w:p>
            <w:r>
              <w:rPr>
                <w:b/>
                <w:color w:val="000050"/>
                <w:sz w:val="18"/>
              </w:rPr>
              <w:t>Divisions Using</w:t>
            </w:r>
          </w:p>
        </w:tc>
        <w:tc>
          <w:tcPr>
            <w:tcW w:type="dxa" w:w="4392"/>
          </w:tcPr>
          <w:p>
            <w:r>
              <w:rPr>
                <w:sz w:val="18"/>
              </w:rPr>
              <w:t>EPD, ADC, CoreDx, BTS, GMEA</w:t>
            </w:r>
          </w:p>
        </w:tc>
      </w:tr>
      <w:tr>
        <w:tc>
          <w:tcPr>
            <w:tcW w:type="dxa" w:w="4392"/>
            <w:shd w:val="clear" w:color="auto" w:fill="DDDDF8"/>
          </w:tcPr>
          <w:p>
            <w:r>
              <w:rPr>
                <w:b/>
                <w:color w:val="000050"/>
                <w:sz w:val="18"/>
              </w:rPr>
              <w:t>Example Use Cases</w:t>
            </w:r>
          </w:p>
        </w:tc>
        <w:tc>
          <w:tcPr>
            <w:tcW w:type="dxa" w:w="4392"/>
          </w:tcPr>
          <w:p>
            <w:r>
              <w:rPr>
                <w:sz w:val="18"/>
              </w:rPr>
              <w:t>SmartRep Call Planning for field reps (EPD) | Neuron7 field service AI (CoreDx) | Five9 AI-assisted customer service (BTS)</w:t>
            </w:r>
          </w:p>
        </w:tc>
      </w:tr>
    </w:tbl>
    <w:p/>
    <w:p>
      <w:pPr>
        <w:spacing w:before="240" w:after="120"/>
      </w:pPr>
      <w:r>
        <w:rPr>
          <w:b/>
          <w:color w:val="000050"/>
          <w:sz w:val="28"/>
        </w:rPr>
        <w:t>Domain 5: Engineering &amp; Development Acceleration</w:t>
      </w:r>
    </w:p>
    <w:p>
      <w:r>
        <w:rPr>
          <w:b/>
        </w:rPr>
        <w:t xml:space="preserve">Maturity: </w:t>
      </w:r>
      <w:r>
        <w:t>Scaling</w:t>
      </w:r>
    </w:p>
    <w:p>
      <w:r>
        <w:t>AI tools that augment software engineering, quality assurance, and product development workflows — including code generation, testing, architecture assistance, and DevSecOps integration.</w:t>
      </w:r>
    </w:p>
    <w:p>
      <w:pPr>
        <w:spacing w:before="240" w:after="120"/>
      </w:pPr>
      <w:r>
        <w:rPr>
          <w:b/>
          <w:color w:val="000050"/>
          <w:sz w:val="24"/>
        </w:rPr>
        <w:t>Sub-capabilities &amp; Details</w:t>
      </w:r>
    </w:p>
    <w:tbl>
      <w:tblPr>
        <w:tblStyle w:val="TableGrid"/>
        <w:tblW w:type="auto" w:w="0"/>
        <w:jc w:val="left"/>
        <w:tblLook w:firstColumn="1" w:firstRow="1" w:lastColumn="0" w:lastRow="0" w:noHBand="0" w:noVBand="1" w:val="04A0"/>
      </w:tblPr>
      <w:tblGrid>
        <w:gridCol w:w="4320"/>
        <w:gridCol w:w="2160"/>
        <w:gridCol w:w="5040"/>
      </w:tblGrid>
      <w:tr>
        <w:tc>
          <w:tcPr>
            <w:tcW w:type="dxa" w:w="2928"/>
            <w:shd w:val="clear" w:color="auto" w:fill="000050"/>
          </w:tcPr>
          <w:p>
            <w:r>
              <w:rPr>
                <w:b/>
                <w:color w:val="FFFFFF"/>
                <w:sz w:val="20"/>
              </w:rPr>
              <w:t>Sub-Capability</w:t>
            </w:r>
          </w:p>
        </w:tc>
        <w:tc>
          <w:tcPr>
            <w:tcW w:type="dxa" w:w="2928"/>
            <w:shd w:val="clear" w:color="auto" w:fill="000050"/>
          </w:tcPr>
          <w:p>
            <w:r>
              <w:rPr>
                <w:b/>
                <w:color w:val="FFFFFF"/>
                <w:sz w:val="20"/>
              </w:rPr>
              <w:t>Status</w:t>
            </w:r>
          </w:p>
        </w:tc>
        <w:tc>
          <w:tcPr>
            <w:tcW w:type="dxa" w:w="2928"/>
            <w:shd w:val="clear" w:color="auto" w:fill="000050"/>
          </w:tcPr>
          <w:p>
            <w:r>
              <w:rPr>
                <w:b/>
                <w:color w:val="FFFFFF"/>
                <w:sz w:val="20"/>
              </w:rPr>
              <w:t>Notes</w:t>
            </w:r>
          </w:p>
        </w:tc>
      </w:tr>
      <w:tr>
        <w:tc>
          <w:tcPr>
            <w:tcW w:type="dxa" w:w="2928"/>
            <w:shd w:val="clear" w:color="auto" w:fill="F0F0FF"/>
          </w:tcPr>
          <w:p>
            <w:r>
              <w:rPr>
                <w:sz w:val="18"/>
              </w:rPr>
              <w:t>Code Creation with Platform</w:t>
            </w:r>
          </w:p>
        </w:tc>
        <w:tc>
          <w:tcPr>
            <w:tcW w:type="dxa" w:w="2928"/>
            <w:shd w:val="clear" w:color="auto" w:fill="F0F0FF"/>
          </w:tcPr>
          <w:p>
            <w:r>
              <w:rPr>
                <w:sz w:val="18"/>
              </w:rPr>
              <w:t>Active</w:t>
            </w:r>
          </w:p>
        </w:tc>
        <w:tc>
          <w:tcPr>
            <w:tcW w:type="dxa" w:w="2928"/>
            <w:shd w:val="clear" w:color="auto" w:fill="F0F0FF"/>
          </w:tcPr>
          <w:p>
            <w:r>
              <w:rPr>
                <w:sz w:val="18"/>
              </w:rPr>
            </w:r>
          </w:p>
        </w:tc>
      </w:tr>
      <w:tr>
        <w:tc>
          <w:tcPr>
            <w:tcW w:type="dxa" w:w="2928"/>
          </w:tcPr>
          <w:p>
            <w:r>
              <w:rPr>
                <w:sz w:val="18"/>
              </w:rPr>
              <w:t>Code Creation IDE &amp; Test Authoring</w:t>
            </w:r>
          </w:p>
        </w:tc>
        <w:tc>
          <w:tcPr>
            <w:tcW w:type="dxa" w:w="2928"/>
          </w:tcPr>
          <w:p>
            <w:r>
              <w:rPr>
                <w:sz w:val="18"/>
              </w:rPr>
              <w:t>Active</w:t>
            </w:r>
          </w:p>
        </w:tc>
        <w:tc>
          <w:tcPr>
            <w:tcW w:type="dxa" w:w="2928"/>
          </w:tcPr>
          <w:p>
            <w:r>
              <w:rPr>
                <w:sz w:val="18"/>
              </w:rPr>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DDDDF8"/>
          </w:tcPr>
          <w:p>
            <w:r>
              <w:rPr>
                <w:b/>
                <w:color w:val="000050"/>
                <w:sz w:val="18"/>
              </w:rPr>
              <w:t>In-Production Tools</w:t>
            </w:r>
          </w:p>
        </w:tc>
        <w:tc>
          <w:tcPr>
            <w:tcW w:type="dxa" w:w="4392"/>
          </w:tcPr>
          <w:p>
            <w:r>
              <w:rPr>
                <w:sz w:val="18"/>
              </w:rPr>
              <w:t>Cursor/Windsurf/Atlassian AI (BTS), Azure AI Sandbox (MD)</w:t>
            </w:r>
          </w:p>
        </w:tc>
      </w:tr>
      <w:tr>
        <w:tc>
          <w:tcPr>
            <w:tcW w:type="dxa" w:w="4392"/>
            <w:shd w:val="clear" w:color="auto" w:fill="DDDDF8"/>
          </w:tcPr>
          <w:p>
            <w:r>
              <w:rPr>
                <w:b/>
                <w:color w:val="000050"/>
                <w:sz w:val="18"/>
              </w:rPr>
              <w:t>Divisions Using</w:t>
            </w:r>
          </w:p>
        </w:tc>
        <w:tc>
          <w:tcPr>
            <w:tcW w:type="dxa" w:w="4392"/>
          </w:tcPr>
          <w:p>
            <w:r>
              <w:rPr>
                <w:sz w:val="18"/>
              </w:rPr>
              <w:t>BTS, MD, RMDx</w:t>
            </w:r>
          </w:p>
        </w:tc>
      </w:tr>
      <w:tr>
        <w:tc>
          <w:tcPr>
            <w:tcW w:type="dxa" w:w="4392"/>
            <w:shd w:val="clear" w:color="auto" w:fill="DDDDF8"/>
          </w:tcPr>
          <w:p>
            <w:r>
              <w:rPr>
                <w:b/>
                <w:color w:val="000050"/>
                <w:sz w:val="18"/>
              </w:rPr>
              <w:t>Example Use Cases</w:t>
            </w:r>
          </w:p>
        </w:tc>
        <w:tc>
          <w:tcPr>
            <w:tcW w:type="dxa" w:w="4392"/>
          </w:tcPr>
          <w:p>
            <w:r>
              <w:rPr>
                <w:sz w:val="18"/>
              </w:rPr>
              <w:t>Cursor/Windsurf AI-assisted coding (BTS) | Atlassian AI for project management (BTS) | Azure AI Sandbox for rapid prototyping (MD)</w:t>
            </w:r>
          </w:p>
        </w:tc>
      </w:tr>
    </w:tbl>
    <w:p/>
    <w:p>
      <w:pPr>
        <w:spacing w:before="240" w:after="120"/>
      </w:pPr>
      <w:r>
        <w:rPr>
          <w:b/>
          <w:color w:val="000050"/>
          <w:sz w:val="28"/>
        </w:rPr>
        <w:t>Domain 6: Learning, Compliance &amp; Governance</w:t>
      </w:r>
    </w:p>
    <w:p>
      <w:r>
        <w:rPr>
          <w:b/>
        </w:rPr>
        <w:t xml:space="preserve">Maturity: </w:t>
      </w:r>
      <w:r>
        <w:t>Exploring</w:t>
      </w:r>
    </w:p>
    <w:p>
      <w:r>
        <w:t>AI applications that support employee learning and development, regulatory compliance, risk management, legal review, and organizational knowledge management.</w:t>
      </w:r>
    </w:p>
    <w:p>
      <w:pPr>
        <w:spacing w:before="240" w:after="120"/>
      </w:pPr>
      <w:r>
        <w:rPr>
          <w:b/>
          <w:color w:val="000050"/>
          <w:sz w:val="24"/>
        </w:rPr>
        <w:t>Sub-capabilities &amp; Details</w:t>
      </w:r>
    </w:p>
    <w:tbl>
      <w:tblPr>
        <w:tblStyle w:val="TableGrid"/>
        <w:tblW w:type="auto" w:w="0"/>
        <w:jc w:val="left"/>
        <w:tblLook w:firstColumn="1" w:firstRow="1" w:lastColumn="0" w:lastRow="0" w:noHBand="0" w:noVBand="1" w:val="04A0"/>
      </w:tblPr>
      <w:tblGrid>
        <w:gridCol w:w="4320"/>
        <w:gridCol w:w="2160"/>
        <w:gridCol w:w="5040"/>
      </w:tblGrid>
      <w:tr>
        <w:tc>
          <w:tcPr>
            <w:tcW w:type="dxa" w:w="2928"/>
            <w:shd w:val="clear" w:color="auto" w:fill="000050"/>
          </w:tcPr>
          <w:p>
            <w:r>
              <w:rPr>
                <w:b/>
                <w:color w:val="FFFFFF"/>
                <w:sz w:val="20"/>
              </w:rPr>
              <w:t>Sub-Capability</w:t>
            </w:r>
          </w:p>
        </w:tc>
        <w:tc>
          <w:tcPr>
            <w:tcW w:type="dxa" w:w="2928"/>
            <w:shd w:val="clear" w:color="auto" w:fill="000050"/>
          </w:tcPr>
          <w:p>
            <w:r>
              <w:rPr>
                <w:b/>
                <w:color w:val="FFFFFF"/>
                <w:sz w:val="20"/>
              </w:rPr>
              <w:t>Status</w:t>
            </w:r>
          </w:p>
        </w:tc>
        <w:tc>
          <w:tcPr>
            <w:tcW w:type="dxa" w:w="2928"/>
            <w:shd w:val="clear" w:color="auto" w:fill="000050"/>
          </w:tcPr>
          <w:p>
            <w:r>
              <w:rPr>
                <w:b/>
                <w:color w:val="FFFFFF"/>
                <w:sz w:val="20"/>
              </w:rPr>
              <w:t>Notes</w:t>
            </w:r>
          </w:p>
        </w:tc>
      </w:tr>
      <w:tr>
        <w:tc>
          <w:tcPr>
            <w:tcW w:type="dxa" w:w="2928"/>
            <w:shd w:val="clear" w:color="auto" w:fill="F0F0FF"/>
          </w:tcPr>
          <w:p>
            <w:r>
              <w:rPr>
                <w:sz w:val="18"/>
              </w:rPr>
              <w:t>Learning, Training &amp; Coaching</w:t>
            </w:r>
          </w:p>
        </w:tc>
        <w:tc>
          <w:tcPr>
            <w:tcW w:type="dxa" w:w="2928"/>
            <w:shd w:val="clear" w:color="auto" w:fill="F0F0FF"/>
          </w:tcPr>
          <w:p>
            <w:r>
              <w:rPr>
                <w:sz w:val="18"/>
              </w:rPr>
              <w:t>Active</w:t>
            </w:r>
          </w:p>
        </w:tc>
        <w:tc>
          <w:tcPr>
            <w:tcW w:type="dxa" w:w="2928"/>
            <w:shd w:val="clear" w:color="auto" w:fill="F0F0FF"/>
          </w:tcPr>
          <w:p>
            <w:r>
              <w:rPr>
                <w:sz w:val="18"/>
              </w:rPr>
            </w:r>
          </w:p>
        </w:tc>
      </w:tr>
      <w:tr>
        <w:tc>
          <w:tcPr>
            <w:tcW w:type="dxa" w:w="2928"/>
          </w:tcPr>
          <w:p>
            <w:r>
              <w:rPr>
                <w:sz w:val="18"/>
              </w:rPr>
              <w:t>Image Identification / Analysis</w:t>
            </w:r>
          </w:p>
        </w:tc>
        <w:tc>
          <w:tcPr>
            <w:tcW w:type="dxa" w:w="2928"/>
          </w:tcPr>
          <w:p>
            <w:r>
              <w:rPr>
                <w:sz w:val="18"/>
              </w:rPr>
              <w:t>Active</w:t>
            </w:r>
          </w:p>
        </w:tc>
        <w:tc>
          <w:tcPr>
            <w:tcW w:type="dxa" w:w="2928"/>
          </w:tcPr>
          <w:p>
            <w:r>
              <w:rPr>
                <w:sz w:val="18"/>
              </w:rPr>
            </w:r>
          </w:p>
        </w:tc>
      </w:tr>
    </w:tbl>
    <w:p/>
    <w:tbl>
      <w:tblPr>
        <w:tblStyle w:val="TableGrid"/>
        <w:tblW w:type="auto" w:w="0"/>
        <w:tblLook w:firstColumn="1" w:firstRow="1" w:lastColumn="0" w:lastRow="0" w:noHBand="0" w:noVBand="1" w:val="04A0"/>
      </w:tblPr>
      <w:tblGrid>
        <w:gridCol w:w="4392"/>
        <w:gridCol w:w="4392"/>
      </w:tblGrid>
      <w:tr>
        <w:tc>
          <w:tcPr>
            <w:tcW w:type="dxa" w:w="4392"/>
            <w:shd w:val="clear" w:color="auto" w:fill="DDDDF8"/>
          </w:tcPr>
          <w:p>
            <w:r>
              <w:rPr>
                <w:b/>
                <w:color w:val="000050"/>
                <w:sz w:val="18"/>
              </w:rPr>
              <w:t>In-Production Tools</w:t>
            </w:r>
          </w:p>
        </w:tc>
        <w:tc>
          <w:tcPr>
            <w:tcW w:type="dxa" w:w="4392"/>
          </w:tcPr>
          <w:p>
            <w:r>
              <w:rPr>
                <w:sz w:val="18"/>
              </w:rPr>
              <w:t>Pilots in CHR, Corp, RMDx, Cyber (multiple vendor-specific tools in pilot/WIP)</w:t>
            </w:r>
          </w:p>
        </w:tc>
      </w:tr>
      <w:tr>
        <w:tc>
          <w:tcPr>
            <w:tcW w:type="dxa" w:w="4392"/>
            <w:shd w:val="clear" w:color="auto" w:fill="DDDDF8"/>
          </w:tcPr>
          <w:p>
            <w:r>
              <w:rPr>
                <w:b/>
                <w:color w:val="000050"/>
                <w:sz w:val="18"/>
              </w:rPr>
              <w:t>Divisions Using</w:t>
            </w:r>
          </w:p>
        </w:tc>
        <w:tc>
          <w:tcPr>
            <w:tcW w:type="dxa" w:w="4392"/>
          </w:tcPr>
          <w:p>
            <w:r>
              <w:rPr>
                <w:sz w:val="18"/>
              </w:rPr>
              <w:t>CHR, Corp, RMDx, MD, AN, Cyber</w:t>
            </w:r>
          </w:p>
        </w:tc>
      </w:tr>
      <w:tr>
        <w:tc>
          <w:tcPr>
            <w:tcW w:type="dxa" w:w="4392"/>
            <w:shd w:val="clear" w:color="auto" w:fill="DDDDF8"/>
          </w:tcPr>
          <w:p>
            <w:r>
              <w:rPr>
                <w:b/>
                <w:color w:val="000050"/>
                <w:sz w:val="18"/>
              </w:rPr>
              <w:t>Example Use Cases</w:t>
            </w:r>
          </w:p>
        </w:tc>
        <w:tc>
          <w:tcPr>
            <w:tcW w:type="dxa" w:w="4392"/>
          </w:tcPr>
          <w:p>
            <w:r>
              <w:rPr>
                <w:sz w:val="18"/>
              </w:rPr>
              <w:t>Personalized learning paths (CHR) | Regulatory document review (Corp, RMDx) | Legal contract analysis (Corp)</w:t>
            </w:r>
          </w:p>
        </w:tc>
      </w:tr>
    </w:tbl>
    <w:p>
      <w:r>
        <w:br w:type="page"/>
      </w:r>
    </w:p>
    <w:p>
      <w:pPr>
        <w:spacing w:before="240" w:after="120"/>
      </w:pPr>
      <w:r>
        <w:rPr>
          <w:b/>
          <w:color w:val="000050"/>
          <w:sz w:val="36"/>
        </w:rPr>
        <w:t>4. Enterprise Blueprint — 3-Tier Architecture</w:t>
      </w:r>
    </w:p>
    <w:p>
      <w:r>
        <w:t>Abbott's GenAI architecture follows a three-tier model that separates business outcomes, reusable AI capabilities, and shared platform infrastructure. This model enables CoE governance, cross-division reuse, and consistent security and compliance controls.</w:t>
      </w:r>
    </w:p>
    <w:p>
      <w:pPr>
        <w:spacing w:before="240" w:after="120"/>
      </w:pPr>
      <w:r>
        <w:rPr>
          <w:b/>
          <w:color w:val="000050"/>
          <w:sz w:val="28"/>
        </w:rPr>
        <w:t>Tier 1 — Business Domains</w:t>
      </w:r>
    </w:p>
    <w:p>
      <w:r>
        <w:t>The six capability domains represent business-outcome-oriented groupings of GenAI use cases. Each domain maps to one or more Abbott business functions and is owned by a domain champion within the CoE. Domains: Content &amp; Creative Studio | Insights &amp; Analytics Acceleration | Productivity &amp; Automation | Customer &amp; Field Engagement | Engineering &amp; Development | Learning, Compliance &amp; Governance</w:t>
      </w:r>
    </w:p>
    <w:p>
      <w:pPr>
        <w:spacing w:before="240" w:after="120"/>
      </w:pPr>
      <w:r>
        <w:rPr>
          <w:b/>
          <w:color w:val="000050"/>
          <w:sz w:val="28"/>
        </w:rPr>
        <w:t>Tier 2 — GenAI Capabilities</w:t>
      </w:r>
    </w:p>
    <w:p>
      <w:r>
        <w:t>Reusable AI capability patterns that can be shared across divisions and use cases. Sub-capabilities include: Creative Content Draft, Search &amp; Insights, Enterprise Productivity Tools, Assistants &amp; Personalization, Code Creation, and Learning &amp; Compliance tools. These are governed by the CoE and documented in the capability catalog.</w:t>
      </w:r>
    </w:p>
    <w:p>
      <w:pPr>
        <w:spacing w:before="240" w:after="120"/>
      </w:pPr>
      <w:r>
        <w:rPr>
          <w:b/>
          <w:color w:val="000050"/>
          <w:sz w:val="28"/>
        </w:rPr>
        <w:t>Tier 3 — Shared Platform Foundation</w:t>
      </w:r>
    </w:p>
    <w:p>
      <w:r>
        <w:t>Enterprise-licensed AI platforms that provide the underlying model access, infrastructure, and tooling. Platforms: Azure AI Foundry, Anthropic Claude, Salesforce Einstein, Adobe Experience Cloud, Veeva Vault AI, Microsoft M365 Copilot. All platforms are CoE governed with centralized access, billing, and security controls.</w:t>
      </w:r>
    </w:p>
    <w:p>
      <w:r>
        <w:br w:type="page"/>
      </w:r>
    </w:p>
    <w:p>
      <w:pPr>
        <w:spacing w:before="240" w:after="120"/>
      </w:pPr>
      <w:r>
        <w:rPr>
          <w:b/>
          <w:color w:val="000050"/>
          <w:sz w:val="36"/>
        </w:rPr>
        <w:t>5. Platform Foundation</w:t>
      </w:r>
    </w:p>
    <w:tbl>
      <w:tblPr>
        <w:tblStyle w:val="TableGrid"/>
        <w:tblW w:type="auto" w:w="0"/>
        <w:jc w:val="left"/>
        <w:tblLook w:firstColumn="1" w:firstRow="1" w:lastColumn="0" w:lastRow="0" w:noHBand="0" w:noVBand="1" w:val="04A0"/>
      </w:tblPr>
      <w:tblGrid>
        <w:gridCol w:w="3168"/>
        <w:gridCol w:w="5040"/>
        <w:gridCol w:w="3600"/>
        <w:gridCol w:w="2592"/>
      </w:tblGrid>
      <w:tr>
        <w:tc>
          <w:tcPr>
            <w:tcW w:type="dxa" w:w="2196"/>
            <w:shd w:val="clear" w:color="auto" w:fill="000050"/>
          </w:tcPr>
          <w:p>
            <w:r>
              <w:rPr>
                <w:b/>
                <w:color w:val="FFFFFF"/>
                <w:sz w:val="20"/>
              </w:rPr>
              <w:t>Platform</w:t>
            </w:r>
          </w:p>
        </w:tc>
        <w:tc>
          <w:tcPr>
            <w:tcW w:type="dxa" w:w="2196"/>
            <w:shd w:val="clear" w:color="auto" w:fill="000050"/>
          </w:tcPr>
          <w:p>
            <w:r>
              <w:rPr>
                <w:b/>
                <w:color w:val="FFFFFF"/>
                <w:sz w:val="20"/>
              </w:rPr>
              <w:t>Primary Use Cases</w:t>
            </w:r>
          </w:p>
        </w:tc>
        <w:tc>
          <w:tcPr>
            <w:tcW w:type="dxa" w:w="2196"/>
            <w:shd w:val="clear" w:color="auto" w:fill="000050"/>
          </w:tcPr>
          <w:p>
            <w:r>
              <w:rPr>
                <w:b/>
                <w:color w:val="FFFFFF"/>
                <w:sz w:val="20"/>
              </w:rPr>
              <w:t>Domains Served</w:t>
            </w:r>
          </w:p>
        </w:tc>
        <w:tc>
          <w:tcPr>
            <w:tcW w:type="dxa" w:w="2196"/>
            <w:shd w:val="clear" w:color="auto" w:fill="000050"/>
          </w:tcPr>
          <w:p>
            <w:r>
              <w:rPr>
                <w:b/>
                <w:color w:val="FFFFFF"/>
                <w:sz w:val="20"/>
              </w:rPr>
              <w:t>Deployment Model</w:t>
            </w:r>
          </w:p>
        </w:tc>
      </w:tr>
      <w:tr>
        <w:tc>
          <w:tcPr>
            <w:tcW w:type="dxa" w:w="2196"/>
            <w:shd w:val="clear" w:color="auto" w:fill="F0F0FF"/>
          </w:tcPr>
          <w:p>
            <w:r>
              <w:rPr>
                <w:sz w:val="18"/>
              </w:rPr>
              <w:t>Azure AI Foundry</w:t>
            </w:r>
          </w:p>
        </w:tc>
        <w:tc>
          <w:tcPr>
            <w:tcW w:type="dxa" w:w="2196"/>
            <w:shd w:val="clear" w:color="auto" w:fill="F0F0FF"/>
          </w:tcPr>
          <w:p>
            <w:r>
              <w:rPr>
                <w:sz w:val="18"/>
              </w:rPr>
              <w:t>Model access, AI infrastructure, custom fine-tuning</w:t>
            </w:r>
          </w:p>
        </w:tc>
        <w:tc>
          <w:tcPr>
            <w:tcW w:type="dxa" w:w="2196"/>
            <w:shd w:val="clear" w:color="auto" w:fill="F0F0FF"/>
          </w:tcPr>
          <w:p>
            <w:r>
              <w:rPr>
                <w:sz w:val="18"/>
              </w:rPr>
              <w:t>All domains</w:t>
            </w:r>
          </w:p>
        </w:tc>
        <w:tc>
          <w:tcPr>
            <w:tcW w:type="dxa" w:w="2196"/>
            <w:shd w:val="clear" w:color="auto" w:fill="F0F0FF"/>
          </w:tcPr>
          <w:p>
            <w:r>
              <w:rPr>
                <w:sz w:val="18"/>
              </w:rPr>
              <w:t>Enterprise</w:t>
            </w:r>
          </w:p>
        </w:tc>
      </w:tr>
      <w:tr>
        <w:tc>
          <w:tcPr>
            <w:tcW w:type="dxa" w:w="2196"/>
          </w:tcPr>
          <w:p>
            <w:r>
              <w:rPr>
                <w:sz w:val="18"/>
              </w:rPr>
              <w:t>Anthropic Claude</w:t>
            </w:r>
          </w:p>
        </w:tc>
        <w:tc>
          <w:tcPr>
            <w:tcW w:type="dxa" w:w="2196"/>
          </w:tcPr>
          <w:p>
            <w:r>
              <w:rPr>
                <w:sz w:val="18"/>
              </w:rPr>
              <w:t>Long-context reasoning, document analysis, code review</w:t>
            </w:r>
          </w:p>
        </w:tc>
        <w:tc>
          <w:tcPr>
            <w:tcW w:type="dxa" w:w="2196"/>
          </w:tcPr>
          <w:p>
            <w:r>
              <w:rPr>
                <w:sz w:val="18"/>
              </w:rPr>
              <w:t>Insights, Engineering, Compliance</w:t>
            </w:r>
          </w:p>
        </w:tc>
        <w:tc>
          <w:tcPr>
            <w:tcW w:type="dxa" w:w="2196"/>
          </w:tcPr>
          <w:p>
            <w:r>
              <w:rPr>
                <w:sz w:val="18"/>
              </w:rPr>
              <w:t>Enterprise API</w:t>
            </w:r>
          </w:p>
        </w:tc>
      </w:tr>
      <w:tr>
        <w:tc>
          <w:tcPr>
            <w:tcW w:type="dxa" w:w="2196"/>
            <w:shd w:val="clear" w:color="auto" w:fill="F0F0FF"/>
          </w:tcPr>
          <w:p>
            <w:r>
              <w:rPr>
                <w:sz w:val="18"/>
              </w:rPr>
              <w:t>Salesforce Einstein</w:t>
            </w:r>
          </w:p>
        </w:tc>
        <w:tc>
          <w:tcPr>
            <w:tcW w:type="dxa" w:w="2196"/>
            <w:shd w:val="clear" w:color="auto" w:fill="F0F0FF"/>
          </w:tcPr>
          <w:p>
            <w:r>
              <w:rPr>
                <w:sz w:val="18"/>
              </w:rPr>
              <w:t>CRM-native AI, sales copilot, next-best-action</w:t>
            </w:r>
          </w:p>
        </w:tc>
        <w:tc>
          <w:tcPr>
            <w:tcW w:type="dxa" w:w="2196"/>
            <w:shd w:val="clear" w:color="auto" w:fill="F0F0FF"/>
          </w:tcPr>
          <w:p>
            <w:r>
              <w:rPr>
                <w:sz w:val="18"/>
              </w:rPr>
              <w:t>Customer &amp; Field Engagement</w:t>
            </w:r>
          </w:p>
        </w:tc>
        <w:tc>
          <w:tcPr>
            <w:tcW w:type="dxa" w:w="2196"/>
            <w:shd w:val="clear" w:color="auto" w:fill="F0F0FF"/>
          </w:tcPr>
          <w:p>
            <w:r>
              <w:rPr>
                <w:sz w:val="18"/>
              </w:rPr>
              <w:t>SaaS embedded</w:t>
            </w:r>
          </w:p>
        </w:tc>
      </w:tr>
      <w:tr>
        <w:tc>
          <w:tcPr>
            <w:tcW w:type="dxa" w:w="2196"/>
          </w:tcPr>
          <w:p>
            <w:r>
              <w:rPr>
                <w:sz w:val="18"/>
              </w:rPr>
              <w:t>Adobe Experience Cloud</w:t>
            </w:r>
          </w:p>
        </w:tc>
        <w:tc>
          <w:tcPr>
            <w:tcW w:type="dxa" w:w="2196"/>
          </w:tcPr>
          <w:p>
            <w:r>
              <w:rPr>
                <w:sz w:val="18"/>
              </w:rPr>
              <w:t>Content generation, creative tools, personalization</w:t>
            </w:r>
          </w:p>
        </w:tc>
        <w:tc>
          <w:tcPr>
            <w:tcW w:type="dxa" w:w="2196"/>
          </w:tcPr>
          <w:p>
            <w:r>
              <w:rPr>
                <w:sz w:val="18"/>
              </w:rPr>
              <w:t>Content &amp; Creative Studio</w:t>
            </w:r>
          </w:p>
        </w:tc>
        <w:tc>
          <w:tcPr>
            <w:tcW w:type="dxa" w:w="2196"/>
          </w:tcPr>
          <w:p>
            <w:r>
              <w:rPr>
                <w:sz w:val="18"/>
              </w:rPr>
              <w:t>SaaS</w:t>
            </w:r>
          </w:p>
        </w:tc>
      </w:tr>
      <w:tr>
        <w:tc>
          <w:tcPr>
            <w:tcW w:type="dxa" w:w="2196"/>
            <w:shd w:val="clear" w:color="auto" w:fill="F0F0FF"/>
          </w:tcPr>
          <w:p>
            <w:r>
              <w:rPr>
                <w:sz w:val="18"/>
              </w:rPr>
              <w:t>Veeva Vault AI</w:t>
            </w:r>
          </w:p>
        </w:tc>
        <w:tc>
          <w:tcPr>
            <w:tcW w:type="dxa" w:w="2196"/>
            <w:shd w:val="clear" w:color="auto" w:fill="F0F0FF"/>
          </w:tcPr>
          <w:p>
            <w:r>
              <w:rPr>
                <w:sz w:val="18"/>
              </w:rPr>
              <w:t>Regulated content mgmt, MLR review, clinical docs</w:t>
            </w:r>
          </w:p>
        </w:tc>
        <w:tc>
          <w:tcPr>
            <w:tcW w:type="dxa" w:w="2196"/>
            <w:shd w:val="clear" w:color="auto" w:fill="F0F0FF"/>
          </w:tcPr>
          <w:p>
            <w:r>
              <w:rPr>
                <w:sz w:val="18"/>
              </w:rPr>
              <w:t>Compliance &amp; Governance</w:t>
            </w:r>
          </w:p>
        </w:tc>
        <w:tc>
          <w:tcPr>
            <w:tcW w:type="dxa" w:w="2196"/>
            <w:shd w:val="clear" w:color="auto" w:fill="F0F0FF"/>
          </w:tcPr>
          <w:p>
            <w:r>
              <w:rPr>
                <w:sz w:val="18"/>
              </w:rPr>
              <w:t>SaaS</w:t>
            </w:r>
          </w:p>
        </w:tc>
      </w:tr>
      <w:tr>
        <w:tc>
          <w:tcPr>
            <w:tcW w:type="dxa" w:w="2196"/>
          </w:tcPr>
          <w:p>
            <w:r>
              <w:rPr>
                <w:sz w:val="18"/>
              </w:rPr>
              <w:t>Microsoft M365 Copilot</w:t>
            </w:r>
          </w:p>
        </w:tc>
        <w:tc>
          <w:tcPr>
            <w:tcW w:type="dxa" w:w="2196"/>
          </w:tcPr>
          <w:p>
            <w:r>
              <w:rPr>
                <w:sz w:val="18"/>
              </w:rPr>
              <w:t>Enterprise productivity, Teams, Office suite AI</w:t>
            </w:r>
          </w:p>
        </w:tc>
        <w:tc>
          <w:tcPr>
            <w:tcW w:type="dxa" w:w="2196"/>
          </w:tcPr>
          <w:p>
            <w:r>
              <w:rPr>
                <w:sz w:val="18"/>
              </w:rPr>
              <w:t>Productivity &amp; Automation</w:t>
            </w:r>
          </w:p>
        </w:tc>
        <w:tc>
          <w:tcPr>
            <w:tcW w:type="dxa" w:w="2196"/>
          </w:tcPr>
          <w:p>
            <w:r>
              <w:rPr>
                <w:sz w:val="18"/>
              </w:rPr>
              <w:t>M365 tenant</w:t>
            </w:r>
          </w:p>
        </w:tc>
      </w:tr>
    </w:tbl>
    <w:p>
      <w:r>
        <w:br w:type="page"/>
      </w:r>
    </w:p>
    <w:p>
      <w:pPr>
        <w:spacing w:before="240" w:after="120"/>
      </w:pPr>
      <w:r>
        <w:rPr>
          <w:b/>
          <w:color w:val="000050"/>
          <w:sz w:val="36"/>
        </w:rPr>
        <w:t>6. Division Breakdown</w:t>
      </w:r>
    </w:p>
    <w:tbl>
      <w:tblPr>
        <w:tblStyle w:val="TableGrid"/>
        <w:tblW w:type="auto" w:w="0"/>
        <w:jc w:val="left"/>
        <w:tblLook w:firstColumn="1" w:firstRow="1" w:lastColumn="0" w:lastRow="0" w:noHBand="0" w:noVBand="1" w:val="04A0"/>
      </w:tblPr>
      <w:tblGrid>
        <w:gridCol w:w="1728"/>
        <w:gridCol w:w="1728"/>
        <w:gridCol w:w="3600"/>
        <w:gridCol w:w="2160"/>
        <w:gridCol w:w="4320"/>
      </w:tblGrid>
      <w:tr>
        <w:tc>
          <w:tcPr>
            <w:tcW w:type="dxa" w:w="1757"/>
            <w:shd w:val="clear" w:color="auto" w:fill="000050"/>
          </w:tcPr>
          <w:p>
            <w:r>
              <w:rPr>
                <w:b/>
                <w:color w:val="FFFFFF"/>
                <w:sz w:val="20"/>
              </w:rPr>
              <w:t>Division</w:t>
            </w:r>
          </w:p>
        </w:tc>
        <w:tc>
          <w:tcPr>
            <w:tcW w:type="dxa" w:w="1757"/>
            <w:shd w:val="clear" w:color="auto" w:fill="000050"/>
          </w:tcPr>
          <w:p>
            <w:r>
              <w:rPr>
                <w:b/>
                <w:color w:val="FFFFFF"/>
                <w:sz w:val="20"/>
              </w:rPr>
              <w:t>Use Cases</w:t>
            </w:r>
          </w:p>
        </w:tc>
        <w:tc>
          <w:tcPr>
            <w:tcW w:type="dxa" w:w="1757"/>
            <w:shd w:val="clear" w:color="auto" w:fill="000050"/>
          </w:tcPr>
          <w:p>
            <w:r>
              <w:rPr>
                <w:b/>
                <w:color w:val="FFFFFF"/>
                <w:sz w:val="20"/>
              </w:rPr>
              <w:t>Top Domain</w:t>
            </w:r>
          </w:p>
        </w:tc>
        <w:tc>
          <w:tcPr>
            <w:tcW w:type="dxa" w:w="1757"/>
            <w:shd w:val="clear" w:color="auto" w:fill="000050"/>
          </w:tcPr>
          <w:p>
            <w:r>
              <w:rPr>
                <w:b/>
                <w:color w:val="FFFFFF"/>
                <w:sz w:val="20"/>
              </w:rPr>
              <w:t>In Production</w:t>
            </w:r>
          </w:p>
        </w:tc>
        <w:tc>
          <w:tcPr>
            <w:tcW w:type="dxa" w:w="1757"/>
            <w:shd w:val="clear" w:color="auto" w:fill="000050"/>
          </w:tcPr>
          <w:p>
            <w:r>
              <w:rPr>
                <w:b/>
                <w:color w:val="FFFFFF"/>
                <w:sz w:val="20"/>
              </w:rPr>
              <w:t>Notes</w:t>
            </w:r>
          </w:p>
        </w:tc>
      </w:tr>
      <w:tr>
        <w:tc>
          <w:tcPr>
            <w:tcW w:type="dxa" w:w="1757"/>
            <w:shd w:val="clear" w:color="auto" w:fill="F0F0FF"/>
          </w:tcPr>
          <w:p>
            <w:r>
              <w:rPr>
                <w:sz w:val="18"/>
              </w:rPr>
              <w:t>BTS</w:t>
            </w:r>
          </w:p>
        </w:tc>
        <w:tc>
          <w:tcPr>
            <w:tcW w:type="dxa" w:w="1757"/>
            <w:shd w:val="clear" w:color="auto" w:fill="F0F0FF"/>
          </w:tcPr>
          <w:p>
            <w:r>
              <w:rPr>
                <w:sz w:val="18"/>
              </w:rPr>
              <w:t>32</w:t>
            </w:r>
          </w:p>
        </w:tc>
        <w:tc>
          <w:tcPr>
            <w:tcW w:type="dxa" w:w="1757"/>
            <w:shd w:val="clear" w:color="auto" w:fill="F0F0FF"/>
          </w:tcPr>
          <w:p>
            <w:r>
              <w:rPr>
                <w:sz w:val="18"/>
              </w:rPr>
              <w:t>Productivity &amp; Automation</w:t>
            </w:r>
          </w:p>
        </w:tc>
        <w:tc>
          <w:tcPr>
            <w:tcW w:type="dxa" w:w="1757"/>
            <w:shd w:val="clear" w:color="auto" w:fill="F0F0FF"/>
          </w:tcPr>
          <w:p>
            <w:r>
              <w:rPr>
                <w:sz w:val="18"/>
              </w:rPr>
              <w:t>8</w:t>
            </w:r>
          </w:p>
        </w:tc>
        <w:tc>
          <w:tcPr>
            <w:tcW w:type="dxa" w:w="1757"/>
            <w:shd w:val="clear" w:color="auto" w:fill="F0F0FF"/>
          </w:tcPr>
          <w:p>
            <w:r>
              <w:rPr>
                <w:sz w:val="18"/>
              </w:rPr>
              <w:t>M365 Copilot, Cursor, Five9</w:t>
            </w:r>
          </w:p>
        </w:tc>
      </w:tr>
      <w:tr>
        <w:tc>
          <w:tcPr>
            <w:tcW w:type="dxa" w:w="1757"/>
          </w:tcPr>
          <w:p>
            <w:r>
              <w:rPr>
                <w:sz w:val="18"/>
              </w:rPr>
              <w:t>ADC</w:t>
            </w:r>
          </w:p>
        </w:tc>
        <w:tc>
          <w:tcPr>
            <w:tcW w:type="dxa" w:w="1757"/>
          </w:tcPr>
          <w:p>
            <w:r>
              <w:rPr>
                <w:sz w:val="18"/>
              </w:rPr>
              <w:t>31</w:t>
            </w:r>
          </w:p>
        </w:tc>
        <w:tc>
          <w:tcPr>
            <w:tcW w:type="dxa" w:w="1757"/>
          </w:tcPr>
          <w:p>
            <w:r>
              <w:rPr>
                <w:sz w:val="18"/>
              </w:rPr>
              <w:t>Content &amp; Creative</w:t>
            </w:r>
          </w:p>
        </w:tc>
        <w:tc>
          <w:tcPr>
            <w:tcW w:type="dxa" w:w="1757"/>
          </w:tcPr>
          <w:p>
            <w:r>
              <w:rPr>
                <w:sz w:val="18"/>
              </w:rPr>
              <w:t>6</w:t>
            </w:r>
          </w:p>
        </w:tc>
        <w:tc>
          <w:tcPr>
            <w:tcW w:type="dxa" w:w="1757"/>
          </w:tcPr>
          <w:p>
            <w:r>
              <w:rPr>
                <w:sz w:val="18"/>
              </w:rPr>
              <w:t>HCP marketing, personalization</w:t>
            </w:r>
          </w:p>
        </w:tc>
      </w:tr>
      <w:tr>
        <w:tc>
          <w:tcPr>
            <w:tcW w:type="dxa" w:w="1757"/>
            <w:shd w:val="clear" w:color="auto" w:fill="F0F0FF"/>
          </w:tcPr>
          <w:p>
            <w:r>
              <w:rPr>
                <w:sz w:val="18"/>
              </w:rPr>
              <w:t>Corp</w:t>
            </w:r>
          </w:p>
        </w:tc>
        <w:tc>
          <w:tcPr>
            <w:tcW w:type="dxa" w:w="1757"/>
            <w:shd w:val="clear" w:color="auto" w:fill="F0F0FF"/>
          </w:tcPr>
          <w:p>
            <w:r>
              <w:rPr>
                <w:sz w:val="18"/>
              </w:rPr>
              <w:t>27</w:t>
            </w:r>
          </w:p>
        </w:tc>
        <w:tc>
          <w:tcPr>
            <w:tcW w:type="dxa" w:w="1757"/>
            <w:shd w:val="clear" w:color="auto" w:fill="F0F0FF"/>
          </w:tcPr>
          <w:p>
            <w:r>
              <w:rPr>
                <w:sz w:val="18"/>
              </w:rPr>
              <w:t>Insights &amp; Analytics</w:t>
            </w:r>
          </w:p>
        </w:tc>
        <w:tc>
          <w:tcPr>
            <w:tcW w:type="dxa" w:w="1757"/>
            <w:shd w:val="clear" w:color="auto" w:fill="F0F0FF"/>
          </w:tcPr>
          <w:p>
            <w:r>
              <w:rPr>
                <w:sz w:val="18"/>
              </w:rPr>
              <w:t>5</w:t>
            </w:r>
          </w:p>
        </w:tc>
        <w:tc>
          <w:tcPr>
            <w:tcW w:type="dxa" w:w="1757"/>
            <w:shd w:val="clear" w:color="auto" w:fill="F0F0FF"/>
          </w:tcPr>
          <w:p>
            <w:r>
              <w:rPr>
                <w:sz w:val="18"/>
              </w:rPr>
              <w:t>Procurement, legal, audit</w:t>
            </w:r>
          </w:p>
        </w:tc>
      </w:tr>
      <w:tr>
        <w:tc>
          <w:tcPr>
            <w:tcW w:type="dxa" w:w="1757"/>
          </w:tcPr>
          <w:p>
            <w:r>
              <w:rPr>
                <w:sz w:val="18"/>
              </w:rPr>
              <w:t>AN</w:t>
            </w:r>
          </w:p>
        </w:tc>
        <w:tc>
          <w:tcPr>
            <w:tcW w:type="dxa" w:w="1757"/>
          </w:tcPr>
          <w:p>
            <w:r>
              <w:rPr>
                <w:sz w:val="18"/>
              </w:rPr>
              <w:t>22</w:t>
            </w:r>
          </w:p>
        </w:tc>
        <w:tc>
          <w:tcPr>
            <w:tcW w:type="dxa" w:w="1757"/>
          </w:tcPr>
          <w:p>
            <w:r>
              <w:rPr>
                <w:sz w:val="18"/>
              </w:rPr>
              <w:t>Insights &amp; Analytics</w:t>
            </w:r>
          </w:p>
        </w:tc>
        <w:tc>
          <w:tcPr>
            <w:tcW w:type="dxa" w:w="1757"/>
          </w:tcPr>
          <w:p>
            <w:r>
              <w:rPr>
                <w:sz w:val="18"/>
              </w:rPr>
              <w:t>5</w:t>
            </w:r>
          </w:p>
        </w:tc>
        <w:tc>
          <w:tcPr>
            <w:tcW w:type="dxa" w:w="1757"/>
          </w:tcPr>
          <w:p>
            <w:r>
              <w:rPr>
                <w:sz w:val="18"/>
              </w:rPr>
              <w:t>RADIA Research, AutogenAI</w:t>
            </w:r>
          </w:p>
        </w:tc>
      </w:tr>
      <w:tr>
        <w:tc>
          <w:tcPr>
            <w:tcW w:type="dxa" w:w="1757"/>
            <w:shd w:val="clear" w:color="auto" w:fill="F0F0FF"/>
          </w:tcPr>
          <w:p>
            <w:r>
              <w:rPr>
                <w:sz w:val="18"/>
              </w:rPr>
              <w:t>RMDx</w:t>
            </w:r>
          </w:p>
        </w:tc>
        <w:tc>
          <w:tcPr>
            <w:tcW w:type="dxa" w:w="1757"/>
            <w:shd w:val="clear" w:color="auto" w:fill="F0F0FF"/>
          </w:tcPr>
          <w:p>
            <w:r>
              <w:rPr>
                <w:sz w:val="18"/>
              </w:rPr>
              <w:t>22</w:t>
            </w:r>
          </w:p>
        </w:tc>
        <w:tc>
          <w:tcPr>
            <w:tcW w:type="dxa" w:w="1757"/>
            <w:shd w:val="clear" w:color="auto" w:fill="F0F0FF"/>
          </w:tcPr>
          <w:p>
            <w:r>
              <w:rPr>
                <w:sz w:val="18"/>
              </w:rPr>
              <w:t>Content &amp; Creative</w:t>
            </w:r>
          </w:p>
        </w:tc>
        <w:tc>
          <w:tcPr>
            <w:tcW w:type="dxa" w:w="1757"/>
            <w:shd w:val="clear" w:color="auto" w:fill="F0F0FF"/>
          </w:tcPr>
          <w:p>
            <w:r>
              <w:rPr>
                <w:sz w:val="18"/>
              </w:rPr>
              <w:t>4</w:t>
            </w:r>
          </w:p>
        </w:tc>
        <w:tc>
          <w:tcPr>
            <w:tcW w:type="dxa" w:w="1757"/>
            <w:shd w:val="clear" w:color="auto" w:fill="F0F0FF"/>
          </w:tcPr>
          <w:p>
            <w:r>
              <w:rPr>
                <w:sz w:val="18"/>
              </w:rPr>
              <w:t>Databricks, Adobe Firefly</w:t>
            </w:r>
          </w:p>
        </w:tc>
      </w:tr>
      <w:tr>
        <w:tc>
          <w:tcPr>
            <w:tcW w:type="dxa" w:w="1757"/>
          </w:tcPr>
          <w:p>
            <w:r>
              <w:rPr>
                <w:sz w:val="18"/>
              </w:rPr>
              <w:t>MD</w:t>
            </w:r>
          </w:p>
        </w:tc>
        <w:tc>
          <w:tcPr>
            <w:tcW w:type="dxa" w:w="1757"/>
          </w:tcPr>
          <w:p>
            <w:r>
              <w:rPr>
                <w:sz w:val="18"/>
              </w:rPr>
              <w:t>22</w:t>
            </w:r>
          </w:p>
        </w:tc>
        <w:tc>
          <w:tcPr>
            <w:tcW w:type="dxa" w:w="1757"/>
          </w:tcPr>
          <w:p>
            <w:r>
              <w:rPr>
                <w:sz w:val="18"/>
              </w:rPr>
              <w:t>Engineering &amp; Dev</w:t>
            </w:r>
          </w:p>
        </w:tc>
        <w:tc>
          <w:tcPr>
            <w:tcW w:type="dxa" w:w="1757"/>
          </w:tcPr>
          <w:p>
            <w:r>
              <w:rPr>
                <w:sz w:val="18"/>
              </w:rPr>
              <w:t>3</w:t>
            </w:r>
          </w:p>
        </w:tc>
        <w:tc>
          <w:tcPr>
            <w:tcW w:type="dxa" w:w="1757"/>
          </w:tcPr>
          <w:p>
            <w:r>
              <w:rPr>
                <w:sz w:val="18"/>
              </w:rPr>
              <w:t>Azure AI Sandbox</w:t>
            </w:r>
          </w:p>
        </w:tc>
      </w:tr>
      <w:tr>
        <w:tc>
          <w:tcPr>
            <w:tcW w:type="dxa" w:w="1757"/>
            <w:shd w:val="clear" w:color="auto" w:fill="F0F0FF"/>
          </w:tcPr>
          <w:p>
            <w:r>
              <w:rPr>
                <w:sz w:val="18"/>
              </w:rPr>
              <w:t>EPD</w:t>
            </w:r>
          </w:p>
        </w:tc>
        <w:tc>
          <w:tcPr>
            <w:tcW w:type="dxa" w:w="1757"/>
            <w:shd w:val="clear" w:color="auto" w:fill="F0F0FF"/>
          </w:tcPr>
          <w:p>
            <w:r>
              <w:rPr>
                <w:sz w:val="18"/>
              </w:rPr>
              <w:t>19</w:t>
            </w:r>
          </w:p>
        </w:tc>
        <w:tc>
          <w:tcPr>
            <w:tcW w:type="dxa" w:w="1757"/>
            <w:shd w:val="clear" w:color="auto" w:fill="F0F0FF"/>
          </w:tcPr>
          <w:p>
            <w:r>
              <w:rPr>
                <w:sz w:val="18"/>
              </w:rPr>
              <w:t>Customer &amp; Field</w:t>
            </w:r>
          </w:p>
        </w:tc>
        <w:tc>
          <w:tcPr>
            <w:tcW w:type="dxa" w:w="1757"/>
            <w:shd w:val="clear" w:color="auto" w:fill="F0F0FF"/>
          </w:tcPr>
          <w:p>
            <w:r>
              <w:rPr>
                <w:sz w:val="18"/>
              </w:rPr>
              <w:t>4</w:t>
            </w:r>
          </w:p>
        </w:tc>
        <w:tc>
          <w:tcPr>
            <w:tcW w:type="dxa" w:w="1757"/>
            <w:shd w:val="clear" w:color="auto" w:fill="F0F0FF"/>
          </w:tcPr>
          <w:p>
            <w:r>
              <w:rPr>
                <w:sz w:val="18"/>
              </w:rPr>
              <w:t>SmartRep Call Planning</w:t>
            </w:r>
          </w:p>
        </w:tc>
      </w:tr>
      <w:tr>
        <w:tc>
          <w:tcPr>
            <w:tcW w:type="dxa" w:w="1757"/>
          </w:tcPr>
          <w:p>
            <w:r>
              <w:rPr>
                <w:sz w:val="18"/>
              </w:rPr>
              <w:t>CHR</w:t>
            </w:r>
          </w:p>
        </w:tc>
        <w:tc>
          <w:tcPr>
            <w:tcW w:type="dxa" w:w="1757"/>
          </w:tcPr>
          <w:p>
            <w:r>
              <w:rPr>
                <w:sz w:val="18"/>
              </w:rPr>
              <w:t>14</w:t>
            </w:r>
          </w:p>
        </w:tc>
        <w:tc>
          <w:tcPr>
            <w:tcW w:type="dxa" w:w="1757"/>
          </w:tcPr>
          <w:p>
            <w:r>
              <w:rPr>
                <w:sz w:val="18"/>
              </w:rPr>
              <w:t>Learning &amp; Governance</w:t>
            </w:r>
          </w:p>
        </w:tc>
        <w:tc>
          <w:tcPr>
            <w:tcW w:type="dxa" w:w="1757"/>
          </w:tcPr>
          <w:p>
            <w:r>
              <w:rPr>
                <w:sz w:val="18"/>
              </w:rPr>
              <w:t>2</w:t>
            </w:r>
          </w:p>
        </w:tc>
        <w:tc>
          <w:tcPr>
            <w:tcW w:type="dxa" w:w="1757"/>
          </w:tcPr>
          <w:p>
            <w:r>
              <w:rPr>
                <w:sz w:val="18"/>
              </w:rPr>
              <w:t>HR process automation</w:t>
            </w:r>
          </w:p>
        </w:tc>
      </w:tr>
      <w:tr>
        <w:tc>
          <w:tcPr>
            <w:tcW w:type="dxa" w:w="1757"/>
            <w:shd w:val="clear" w:color="auto" w:fill="F0F0FF"/>
          </w:tcPr>
          <w:p>
            <w:r>
              <w:rPr>
                <w:sz w:val="18"/>
              </w:rPr>
              <w:t>GMEA</w:t>
            </w:r>
          </w:p>
        </w:tc>
        <w:tc>
          <w:tcPr>
            <w:tcW w:type="dxa" w:w="1757"/>
            <w:shd w:val="clear" w:color="auto" w:fill="F0F0FF"/>
          </w:tcPr>
          <w:p>
            <w:r>
              <w:rPr>
                <w:sz w:val="18"/>
              </w:rPr>
              <w:t>9</w:t>
            </w:r>
          </w:p>
        </w:tc>
        <w:tc>
          <w:tcPr>
            <w:tcW w:type="dxa" w:w="1757"/>
            <w:shd w:val="clear" w:color="auto" w:fill="F0F0FF"/>
          </w:tcPr>
          <w:p>
            <w:r>
              <w:rPr>
                <w:sz w:val="18"/>
              </w:rPr>
              <w:t>Customer &amp; Field</w:t>
            </w:r>
          </w:p>
        </w:tc>
        <w:tc>
          <w:tcPr>
            <w:tcW w:type="dxa" w:w="1757"/>
            <w:shd w:val="clear" w:color="auto" w:fill="F0F0FF"/>
          </w:tcPr>
          <w:p>
            <w:r>
              <w:rPr>
                <w:sz w:val="18"/>
              </w:rPr>
              <w:t>3</w:t>
            </w:r>
          </w:p>
        </w:tc>
        <w:tc>
          <w:tcPr>
            <w:tcW w:type="dxa" w:w="1757"/>
            <w:shd w:val="clear" w:color="auto" w:fill="F0F0FF"/>
          </w:tcPr>
          <w:p>
            <w:r>
              <w:rPr>
                <w:sz w:val="18"/>
              </w:rPr>
              <w:t>Writer Newsroom, Mktg Insights</w:t>
            </w:r>
          </w:p>
        </w:tc>
      </w:tr>
      <w:tr>
        <w:tc>
          <w:tcPr>
            <w:tcW w:type="dxa" w:w="1757"/>
          </w:tcPr>
          <w:p>
            <w:r>
              <w:rPr>
                <w:sz w:val="18"/>
              </w:rPr>
              <w:t>CoreDx</w:t>
            </w:r>
          </w:p>
        </w:tc>
        <w:tc>
          <w:tcPr>
            <w:tcW w:type="dxa" w:w="1757"/>
          </w:tcPr>
          <w:p>
            <w:r>
              <w:rPr>
                <w:sz w:val="18"/>
              </w:rPr>
              <w:t>9</w:t>
            </w:r>
          </w:p>
        </w:tc>
        <w:tc>
          <w:tcPr>
            <w:tcW w:type="dxa" w:w="1757"/>
          </w:tcPr>
          <w:p>
            <w:r>
              <w:rPr>
                <w:sz w:val="18"/>
              </w:rPr>
              <w:t>Customer &amp; Field</w:t>
            </w:r>
          </w:p>
        </w:tc>
        <w:tc>
          <w:tcPr>
            <w:tcW w:type="dxa" w:w="1757"/>
          </w:tcPr>
          <w:p>
            <w:r>
              <w:rPr>
                <w:sz w:val="18"/>
              </w:rPr>
              <w:t>3</w:t>
            </w:r>
          </w:p>
        </w:tc>
        <w:tc>
          <w:tcPr>
            <w:tcW w:type="dxa" w:w="1757"/>
          </w:tcPr>
          <w:p>
            <w:r>
              <w:rPr>
                <w:sz w:val="18"/>
              </w:rPr>
              <w:t>Neuron7</w:t>
            </w:r>
          </w:p>
        </w:tc>
      </w:tr>
      <w:tr>
        <w:tc>
          <w:tcPr>
            <w:tcW w:type="dxa" w:w="1757"/>
            <w:shd w:val="clear" w:color="auto" w:fill="F0F0FF"/>
          </w:tcPr>
          <w:p>
            <w:r>
              <w:rPr>
                <w:sz w:val="18"/>
              </w:rPr>
              <w:t>Lingo</w:t>
            </w:r>
          </w:p>
        </w:tc>
        <w:tc>
          <w:tcPr>
            <w:tcW w:type="dxa" w:w="1757"/>
            <w:shd w:val="clear" w:color="auto" w:fill="F0F0FF"/>
          </w:tcPr>
          <w:p>
            <w:r>
              <w:rPr>
                <w:sz w:val="18"/>
              </w:rPr>
              <w:t>5</w:t>
            </w:r>
          </w:p>
        </w:tc>
        <w:tc>
          <w:tcPr>
            <w:tcW w:type="dxa" w:w="1757"/>
            <w:shd w:val="clear" w:color="auto" w:fill="F0F0FF"/>
          </w:tcPr>
          <w:p>
            <w:r>
              <w:rPr>
                <w:sz w:val="18"/>
              </w:rPr>
              <w:t>Productivity</w:t>
            </w:r>
          </w:p>
        </w:tc>
        <w:tc>
          <w:tcPr>
            <w:tcW w:type="dxa" w:w="1757"/>
            <w:shd w:val="clear" w:color="auto" w:fill="F0F0FF"/>
          </w:tcPr>
          <w:p>
            <w:r>
              <w:rPr>
                <w:sz w:val="18"/>
              </w:rPr>
              <w:t>1</w:t>
            </w:r>
          </w:p>
        </w:tc>
        <w:tc>
          <w:tcPr>
            <w:tcW w:type="dxa" w:w="1757"/>
            <w:shd w:val="clear" w:color="auto" w:fill="F0F0FF"/>
          </w:tcPr>
          <w:p>
            <w:r>
              <w:rPr>
                <w:sz w:val="18"/>
              </w:rPr>
              <w:t>Early stage</w:t>
            </w:r>
          </w:p>
        </w:tc>
      </w:tr>
      <w:tr>
        <w:tc>
          <w:tcPr>
            <w:tcW w:type="dxa" w:w="1757"/>
          </w:tcPr>
          <w:p>
            <w:r>
              <w:rPr>
                <w:sz w:val="18"/>
              </w:rPr>
              <w:t>Cyber</w:t>
            </w:r>
          </w:p>
        </w:tc>
        <w:tc>
          <w:tcPr>
            <w:tcW w:type="dxa" w:w="1757"/>
          </w:tcPr>
          <w:p>
            <w:r>
              <w:rPr>
                <w:sz w:val="18"/>
              </w:rPr>
              <w:t>5</w:t>
            </w:r>
          </w:p>
        </w:tc>
        <w:tc>
          <w:tcPr>
            <w:tcW w:type="dxa" w:w="1757"/>
          </w:tcPr>
          <w:p>
            <w:r>
              <w:rPr>
                <w:sz w:val="18"/>
              </w:rPr>
              <w:t>Compliance &amp; Governance</w:t>
            </w:r>
          </w:p>
        </w:tc>
        <w:tc>
          <w:tcPr>
            <w:tcW w:type="dxa" w:w="1757"/>
          </w:tcPr>
          <w:p>
            <w:r>
              <w:rPr>
                <w:sz w:val="18"/>
              </w:rPr>
              <w:t>1</w:t>
            </w:r>
          </w:p>
        </w:tc>
        <w:tc>
          <w:tcPr>
            <w:tcW w:type="dxa" w:w="1757"/>
          </w:tcPr>
          <w:p>
            <w:r>
              <w:rPr>
                <w:sz w:val="18"/>
              </w:rPr>
              <w:t>Early stage</w:t>
            </w:r>
          </w:p>
        </w:tc>
      </w:tr>
    </w:tbl>
    <w:p>
      <w:r>
        <w:br w:type="page"/>
      </w:r>
    </w:p>
    <w:p>
      <w:pPr>
        <w:spacing w:before="240" w:after="120"/>
      </w:pPr>
      <w:r>
        <w:rPr>
          <w:b/>
          <w:color w:val="000050"/>
          <w:sz w:val="36"/>
        </w:rPr>
        <w:t>7. Recommendations &amp; Next Steps</w:t>
      </w:r>
    </w:p>
    <w:p>
      <w:pPr>
        <w:spacing w:before="240" w:after="120"/>
      </w:pPr>
      <w:r>
        <w:rPr>
          <w:b/>
          <w:color w:val="000050"/>
          <w:sz w:val="28"/>
        </w:rPr>
        <w:t>1. Consolidate Content Platforms</w:t>
      </w:r>
    </w:p>
    <w:p>
      <w:r>
        <w:t>Rationalize Writer, Adobe Firefly, and AutogenAI under a unified Content &amp; Creative Studio platform contract with centralized governance. Target: single content AI platform by Q3 2026.</w:t>
      </w:r>
    </w:p>
    <w:p>
      <w:pPr>
        <w:spacing w:before="240" w:after="120"/>
      </w:pPr>
      <w:r>
        <w:rPr>
          <w:b/>
          <w:color w:val="000050"/>
          <w:sz w:val="28"/>
        </w:rPr>
        <w:t>2. Accelerate ESC Approvals</w:t>
      </w:r>
    </w:p>
    <w:p>
      <w:r>
        <w:t>29 use cases are pending ESC — establish a 30-day SLA for review cadence to unblock deferred value. Assign dedicated ESC coordinator to track and route approvals.</w:t>
      </w:r>
    </w:p>
    <w:p>
      <w:pPr>
        <w:spacing w:before="240" w:after="120"/>
      </w:pPr>
      <w:r>
        <w:rPr>
          <w:b/>
          <w:color w:val="000050"/>
          <w:sz w:val="28"/>
        </w:rPr>
        <w:t>3. Expand SmartRep Model to ADC &amp; GMEA</w:t>
      </w:r>
    </w:p>
    <w:p>
      <w:r>
        <w:t>Template EPD's SmartRep success for replication across commercial divisions. Define data requirements, Salesforce Einstein integration playbook, and training program.</w:t>
      </w:r>
    </w:p>
    <w:p>
      <w:pPr>
        <w:spacing w:before="240" w:after="120"/>
      </w:pPr>
      <w:r>
        <w:rPr>
          <w:b/>
          <w:color w:val="000050"/>
          <w:sz w:val="28"/>
        </w:rPr>
        <w:t>4. Launch Domain Champions Program</w:t>
      </w:r>
    </w:p>
    <w:p>
      <w:r>
        <w:t>Assign a CoE domain champion for each of the 6 capability domains to drive reuse, cross-division knowledge transfer, and quarterly domain reviews.</w:t>
      </w:r>
    </w:p>
    <w:p>
      <w:pPr>
        <w:spacing w:before="240" w:after="120"/>
      </w:pPr>
      <w:r>
        <w:rPr>
          <w:b/>
          <w:color w:val="000050"/>
          <w:sz w:val="28"/>
        </w:rPr>
        <w:t>5. Formalize Build vs. Buy Criteria</w:t>
      </w:r>
    </w:p>
    <w:p>
      <w:r>
        <w:t>Define clear guardrails for when to Build vs. Buy to prevent shadow AI and unapproved custom models. Publish criteria to all divisions with CoE intake process.</w:t>
      </w:r>
    </w:p>
    <w:p>
      <w:pPr>
        <w:spacing w:before="240" w:after="120"/>
      </w:pPr>
      <w:r>
        <w:rPr>
          <w:b/>
          <w:color w:val="000050"/>
          <w:sz w:val="28"/>
        </w:rPr>
        <w:t>6. Investment Plan for Learning &amp; Governance Domain</w:t>
      </w:r>
    </w:p>
    <w:p>
      <w:r>
        <w:t>Develop a dedicated pilot use case in CHR to advance the Exploring → Scaling maturity level. Engage Cyber and Corp Legal/OEC as co-sponsors.</w:t>
      </w:r>
    </w:p>
    <w:p>
      <w:r>
        <w:br w:type="page"/>
      </w:r>
    </w:p>
    <w:p>
      <w:pPr>
        <w:spacing w:before="240" w:after="120"/>
      </w:pPr>
      <w:r>
        <w:rPr>
          <w:b/>
          <w:color w:val="000050"/>
          <w:sz w:val="36"/>
        </w:rPr>
        <w:t>Appendix: GenAI Capability Catalog Summary</w:t>
      </w:r>
    </w:p>
    <w:tbl>
      <w:tblPr>
        <w:tblStyle w:val="TableGrid"/>
        <w:tblW w:type="auto" w:w="0"/>
        <w:jc w:val="left"/>
        <w:tblLook w:firstColumn="1" w:firstRow="1" w:lastColumn="0" w:lastRow="0" w:noHBand="0" w:noVBand="1" w:val="04A0"/>
      </w:tblPr>
      <w:tblGrid>
        <w:gridCol w:w="4320"/>
        <w:gridCol w:w="1440"/>
        <w:gridCol w:w="4032"/>
        <w:gridCol w:w="3600"/>
      </w:tblGrid>
      <w:tr>
        <w:tc>
          <w:tcPr>
            <w:tcW w:type="dxa" w:w="2196"/>
            <w:shd w:val="clear" w:color="auto" w:fill="000050"/>
          </w:tcPr>
          <w:p>
            <w:r>
              <w:rPr>
                <w:b/>
                <w:color w:val="FFFFFF"/>
                <w:sz w:val="20"/>
              </w:rPr>
              <w:t>Capability Category</w:t>
            </w:r>
          </w:p>
        </w:tc>
        <w:tc>
          <w:tcPr>
            <w:tcW w:type="dxa" w:w="2196"/>
            <w:shd w:val="clear" w:color="auto" w:fill="000050"/>
          </w:tcPr>
          <w:p>
            <w:r>
              <w:rPr>
                <w:b/>
                <w:color w:val="FFFFFF"/>
                <w:sz w:val="20"/>
              </w:rPr>
              <w:t>Count</w:t>
            </w:r>
          </w:p>
        </w:tc>
        <w:tc>
          <w:tcPr>
            <w:tcW w:type="dxa" w:w="2196"/>
            <w:shd w:val="clear" w:color="auto" w:fill="000050"/>
          </w:tcPr>
          <w:p>
            <w:r>
              <w:rPr>
                <w:b/>
                <w:color w:val="FFFFFF"/>
                <w:sz w:val="20"/>
              </w:rPr>
              <w:t>Domain</w:t>
            </w:r>
          </w:p>
        </w:tc>
        <w:tc>
          <w:tcPr>
            <w:tcW w:type="dxa" w:w="2196"/>
            <w:shd w:val="clear" w:color="auto" w:fill="000050"/>
          </w:tcPr>
          <w:p>
            <w:r>
              <w:rPr>
                <w:b/>
                <w:color w:val="FFFFFF"/>
                <w:sz w:val="20"/>
              </w:rPr>
              <w:t>Notes</w:t>
            </w:r>
          </w:p>
        </w:tc>
      </w:tr>
      <w:tr>
        <w:tc>
          <w:tcPr>
            <w:tcW w:type="dxa" w:w="2196"/>
            <w:shd w:val="clear" w:color="auto" w:fill="F0F0FF"/>
          </w:tcPr>
          <w:p>
            <w:r>
              <w:rPr>
                <w:sz w:val="18"/>
              </w:rPr>
              <w:t>Insights &amp; Document Generation</w:t>
            </w:r>
          </w:p>
        </w:tc>
        <w:tc>
          <w:tcPr>
            <w:tcW w:type="dxa" w:w="2196"/>
            <w:shd w:val="clear" w:color="auto" w:fill="F0F0FF"/>
          </w:tcPr>
          <w:p>
            <w:r>
              <w:rPr>
                <w:sz w:val="18"/>
              </w:rPr>
              <w:t>21</w:t>
            </w:r>
          </w:p>
        </w:tc>
        <w:tc>
          <w:tcPr>
            <w:tcW w:type="dxa" w:w="2196"/>
            <w:shd w:val="clear" w:color="auto" w:fill="F0F0FF"/>
          </w:tcPr>
          <w:p>
            <w:r>
              <w:rPr>
                <w:sz w:val="18"/>
              </w:rPr>
              <w:t>Insights &amp; Analytics</w:t>
            </w:r>
          </w:p>
        </w:tc>
        <w:tc>
          <w:tcPr>
            <w:tcW w:type="dxa" w:w="2196"/>
            <w:shd w:val="clear" w:color="auto" w:fill="F0F0FF"/>
          </w:tcPr>
          <w:p>
            <w:r>
              <w:rPr>
                <w:sz w:val="18"/>
              </w:rPr>
              <w:t>Largest category</w:t>
            </w:r>
          </w:p>
        </w:tc>
      </w:tr>
      <w:tr>
        <w:tc>
          <w:tcPr>
            <w:tcW w:type="dxa" w:w="2196"/>
          </w:tcPr>
          <w:p>
            <w:r>
              <w:rPr>
                <w:sz w:val="18"/>
              </w:rPr>
              <w:t>Content / Document Creation</w:t>
            </w:r>
          </w:p>
        </w:tc>
        <w:tc>
          <w:tcPr>
            <w:tcW w:type="dxa" w:w="2196"/>
          </w:tcPr>
          <w:p>
            <w:r>
              <w:rPr>
                <w:sz w:val="18"/>
              </w:rPr>
              <w:t>19</w:t>
            </w:r>
          </w:p>
        </w:tc>
        <w:tc>
          <w:tcPr>
            <w:tcW w:type="dxa" w:w="2196"/>
          </w:tcPr>
          <w:p>
            <w:r>
              <w:rPr>
                <w:sz w:val="18"/>
              </w:rPr>
              <w:t>Content &amp; Creative Studio</w:t>
            </w:r>
          </w:p>
        </w:tc>
        <w:tc>
          <w:tcPr>
            <w:tcW w:type="dxa" w:w="2196"/>
          </w:tcPr>
          <w:p>
            <w:r>
              <w:rPr>
                <w:sz w:val="18"/>
              </w:rPr>
            </w:r>
          </w:p>
        </w:tc>
      </w:tr>
      <w:tr>
        <w:tc>
          <w:tcPr>
            <w:tcW w:type="dxa" w:w="2196"/>
            <w:shd w:val="clear" w:color="auto" w:fill="F0F0FF"/>
          </w:tcPr>
          <w:p>
            <w:r>
              <w:rPr>
                <w:sz w:val="18"/>
              </w:rPr>
              <w:t>Enterprise Productivity Tool</w:t>
            </w:r>
          </w:p>
        </w:tc>
        <w:tc>
          <w:tcPr>
            <w:tcW w:type="dxa" w:w="2196"/>
            <w:shd w:val="clear" w:color="auto" w:fill="F0F0FF"/>
          </w:tcPr>
          <w:p>
            <w:r>
              <w:rPr>
                <w:sz w:val="18"/>
              </w:rPr>
              <w:t>19</w:t>
            </w:r>
          </w:p>
        </w:tc>
        <w:tc>
          <w:tcPr>
            <w:tcW w:type="dxa" w:w="2196"/>
            <w:shd w:val="clear" w:color="auto" w:fill="F0F0FF"/>
          </w:tcPr>
          <w:p>
            <w:r>
              <w:rPr>
                <w:sz w:val="18"/>
              </w:rPr>
              <w:t>Productivity &amp; Automation</w:t>
            </w:r>
          </w:p>
        </w:tc>
        <w:tc>
          <w:tcPr>
            <w:tcW w:type="dxa" w:w="2196"/>
            <w:shd w:val="clear" w:color="auto" w:fill="F0F0FF"/>
          </w:tcPr>
          <w:p>
            <w:r>
              <w:rPr>
                <w:sz w:val="18"/>
              </w:rPr>
            </w:r>
          </w:p>
        </w:tc>
      </w:tr>
      <w:tr>
        <w:tc>
          <w:tcPr>
            <w:tcW w:type="dxa" w:w="2196"/>
          </w:tcPr>
          <w:p>
            <w:r>
              <w:rPr>
                <w:sz w:val="18"/>
              </w:rPr>
              <w:t>Virtual Assistants</w:t>
            </w:r>
          </w:p>
        </w:tc>
        <w:tc>
          <w:tcPr>
            <w:tcW w:type="dxa" w:w="2196"/>
          </w:tcPr>
          <w:p>
            <w:r>
              <w:rPr>
                <w:sz w:val="18"/>
              </w:rPr>
              <w:t>16</w:t>
            </w:r>
          </w:p>
        </w:tc>
        <w:tc>
          <w:tcPr>
            <w:tcW w:type="dxa" w:w="2196"/>
          </w:tcPr>
          <w:p>
            <w:r>
              <w:rPr>
                <w:sz w:val="18"/>
              </w:rPr>
              <w:t>Customer &amp; Field Engagement</w:t>
            </w:r>
          </w:p>
        </w:tc>
        <w:tc>
          <w:tcPr>
            <w:tcW w:type="dxa" w:w="2196"/>
          </w:tcPr>
          <w:p>
            <w:r>
              <w:rPr>
                <w:sz w:val="18"/>
              </w:rPr>
            </w:r>
          </w:p>
        </w:tc>
      </w:tr>
      <w:tr>
        <w:tc>
          <w:tcPr>
            <w:tcW w:type="dxa" w:w="2196"/>
            <w:shd w:val="clear" w:color="auto" w:fill="F0F0FF"/>
          </w:tcPr>
          <w:p>
            <w:r>
              <w:rPr>
                <w:sz w:val="18"/>
              </w:rPr>
              <w:t>Reporting</w:t>
            </w:r>
          </w:p>
        </w:tc>
        <w:tc>
          <w:tcPr>
            <w:tcW w:type="dxa" w:w="2196"/>
            <w:shd w:val="clear" w:color="auto" w:fill="F0F0FF"/>
          </w:tcPr>
          <w:p>
            <w:r>
              <w:rPr>
                <w:sz w:val="18"/>
              </w:rPr>
              <w:t>14</w:t>
            </w:r>
          </w:p>
        </w:tc>
        <w:tc>
          <w:tcPr>
            <w:tcW w:type="dxa" w:w="2196"/>
            <w:shd w:val="clear" w:color="auto" w:fill="F0F0FF"/>
          </w:tcPr>
          <w:p>
            <w:r>
              <w:rPr>
                <w:sz w:val="18"/>
              </w:rPr>
              <w:t>Insights &amp; Analytics</w:t>
            </w:r>
          </w:p>
        </w:tc>
        <w:tc>
          <w:tcPr>
            <w:tcW w:type="dxa" w:w="2196"/>
            <w:shd w:val="clear" w:color="auto" w:fill="F0F0FF"/>
          </w:tcPr>
          <w:p>
            <w:r>
              <w:rPr>
                <w:sz w:val="18"/>
              </w:rPr>
            </w:r>
          </w:p>
        </w:tc>
      </w:tr>
      <w:tr>
        <w:tc>
          <w:tcPr>
            <w:tcW w:type="dxa" w:w="2196"/>
          </w:tcPr>
          <w:p>
            <w:r>
              <w:rPr>
                <w:sz w:val="18"/>
              </w:rPr>
              <w:t>Search &amp; Generate Insights/Reports</w:t>
            </w:r>
          </w:p>
        </w:tc>
        <w:tc>
          <w:tcPr>
            <w:tcW w:type="dxa" w:w="2196"/>
          </w:tcPr>
          <w:p>
            <w:r>
              <w:rPr>
                <w:sz w:val="18"/>
              </w:rPr>
              <w:t>14</w:t>
            </w:r>
          </w:p>
        </w:tc>
        <w:tc>
          <w:tcPr>
            <w:tcW w:type="dxa" w:w="2196"/>
          </w:tcPr>
          <w:p>
            <w:r>
              <w:rPr>
                <w:sz w:val="18"/>
              </w:rPr>
              <w:t>Insights &amp; Analytics</w:t>
            </w:r>
          </w:p>
        </w:tc>
        <w:tc>
          <w:tcPr>
            <w:tcW w:type="dxa" w:w="2196"/>
          </w:tcPr>
          <w:p>
            <w:r>
              <w:rPr>
                <w:sz w:val="18"/>
              </w:rPr>
            </w:r>
          </w:p>
        </w:tc>
      </w:tr>
      <w:tr>
        <w:tc>
          <w:tcPr>
            <w:tcW w:type="dxa" w:w="2196"/>
            <w:shd w:val="clear" w:color="auto" w:fill="F0F0FF"/>
          </w:tcPr>
          <w:p>
            <w:r>
              <w:rPr>
                <w:sz w:val="18"/>
              </w:rPr>
              <w:t>Creative Content Generation</w:t>
            </w:r>
          </w:p>
        </w:tc>
        <w:tc>
          <w:tcPr>
            <w:tcW w:type="dxa" w:w="2196"/>
            <w:shd w:val="clear" w:color="auto" w:fill="F0F0FF"/>
          </w:tcPr>
          <w:p>
            <w:r>
              <w:rPr>
                <w:sz w:val="18"/>
              </w:rPr>
              <w:t>13</w:t>
            </w:r>
          </w:p>
        </w:tc>
        <w:tc>
          <w:tcPr>
            <w:tcW w:type="dxa" w:w="2196"/>
            <w:shd w:val="clear" w:color="auto" w:fill="F0F0FF"/>
          </w:tcPr>
          <w:p>
            <w:r>
              <w:rPr>
                <w:sz w:val="18"/>
              </w:rPr>
              <w:t>Content &amp; Creative Studio</w:t>
            </w:r>
          </w:p>
        </w:tc>
        <w:tc>
          <w:tcPr>
            <w:tcW w:type="dxa" w:w="2196"/>
            <w:shd w:val="clear" w:color="auto" w:fill="F0F0FF"/>
          </w:tcPr>
          <w:p>
            <w:r>
              <w:rPr>
                <w:sz w:val="18"/>
              </w:rPr>
            </w:r>
          </w:p>
        </w:tc>
      </w:tr>
      <w:tr>
        <w:tc>
          <w:tcPr>
            <w:tcW w:type="dxa" w:w="2196"/>
          </w:tcPr>
          <w:p>
            <w:r>
              <w:rPr>
                <w:sz w:val="18"/>
              </w:rPr>
              <w:t>Process Automation</w:t>
            </w:r>
          </w:p>
        </w:tc>
        <w:tc>
          <w:tcPr>
            <w:tcW w:type="dxa" w:w="2196"/>
          </w:tcPr>
          <w:p>
            <w:r>
              <w:rPr>
                <w:sz w:val="18"/>
              </w:rPr>
              <w:t>10</w:t>
            </w:r>
          </w:p>
        </w:tc>
        <w:tc>
          <w:tcPr>
            <w:tcW w:type="dxa" w:w="2196"/>
          </w:tcPr>
          <w:p>
            <w:r>
              <w:rPr>
                <w:sz w:val="18"/>
              </w:rPr>
              <w:t>Productivity &amp; Automation</w:t>
            </w:r>
          </w:p>
        </w:tc>
        <w:tc>
          <w:tcPr>
            <w:tcW w:type="dxa" w:w="2196"/>
          </w:tcPr>
          <w:p>
            <w:r>
              <w:rPr>
                <w:sz w:val="18"/>
              </w:rPr>
            </w:r>
          </w:p>
        </w:tc>
      </w:tr>
      <w:tr>
        <w:tc>
          <w:tcPr>
            <w:tcW w:type="dxa" w:w="2196"/>
            <w:shd w:val="clear" w:color="auto" w:fill="F0F0FF"/>
          </w:tcPr>
          <w:p>
            <w:r>
              <w:rPr>
                <w:sz w:val="18"/>
              </w:rPr>
              <w:t>Translation</w:t>
            </w:r>
          </w:p>
        </w:tc>
        <w:tc>
          <w:tcPr>
            <w:tcW w:type="dxa" w:w="2196"/>
            <w:shd w:val="clear" w:color="auto" w:fill="F0F0FF"/>
          </w:tcPr>
          <w:p>
            <w:r>
              <w:rPr>
                <w:sz w:val="18"/>
              </w:rPr>
              <w:t>6</w:t>
            </w:r>
          </w:p>
        </w:tc>
        <w:tc>
          <w:tcPr>
            <w:tcW w:type="dxa" w:w="2196"/>
            <w:shd w:val="clear" w:color="auto" w:fill="F0F0FF"/>
          </w:tcPr>
          <w:p>
            <w:r>
              <w:rPr>
                <w:sz w:val="18"/>
              </w:rPr>
              <w:t>Content &amp; Creative Studio</w:t>
            </w:r>
          </w:p>
        </w:tc>
        <w:tc>
          <w:tcPr>
            <w:tcW w:type="dxa" w:w="2196"/>
            <w:shd w:val="clear" w:color="auto" w:fill="F0F0FF"/>
          </w:tcPr>
          <w:p>
            <w:r>
              <w:rPr>
                <w:sz w:val="18"/>
              </w:rPr>
            </w:r>
          </w:p>
        </w:tc>
      </w:tr>
      <w:tr>
        <w:tc>
          <w:tcPr>
            <w:tcW w:type="dxa" w:w="2196"/>
          </w:tcPr>
          <w:p>
            <w:r>
              <w:rPr>
                <w:sz w:val="18"/>
              </w:rPr>
              <w:t>Code Creation</w:t>
            </w:r>
          </w:p>
        </w:tc>
        <w:tc>
          <w:tcPr>
            <w:tcW w:type="dxa" w:w="2196"/>
          </w:tcPr>
          <w:p>
            <w:r>
              <w:rPr>
                <w:sz w:val="18"/>
              </w:rPr>
              <w:t>6</w:t>
            </w:r>
          </w:p>
        </w:tc>
        <w:tc>
          <w:tcPr>
            <w:tcW w:type="dxa" w:w="2196"/>
          </w:tcPr>
          <w:p>
            <w:r>
              <w:rPr>
                <w:sz w:val="18"/>
              </w:rPr>
              <w:t>Engineering &amp; Development</w:t>
            </w:r>
          </w:p>
        </w:tc>
        <w:tc>
          <w:tcPr>
            <w:tcW w:type="dxa" w:w="2196"/>
          </w:tcPr>
          <w:p>
            <w:r>
              <w:rPr>
                <w:sz w:val="18"/>
              </w:rPr>
            </w:r>
          </w:p>
        </w:tc>
      </w:tr>
      <w:tr>
        <w:tc>
          <w:tcPr>
            <w:tcW w:type="dxa" w:w="2196"/>
            <w:shd w:val="clear" w:color="auto" w:fill="F0F0FF"/>
          </w:tcPr>
          <w:p>
            <w:r>
              <w:rPr>
                <w:sz w:val="18"/>
              </w:rPr>
              <w:t>Interaction Chatbots</w:t>
            </w:r>
          </w:p>
        </w:tc>
        <w:tc>
          <w:tcPr>
            <w:tcW w:type="dxa" w:w="2196"/>
            <w:shd w:val="clear" w:color="auto" w:fill="F0F0FF"/>
          </w:tcPr>
          <w:p>
            <w:r>
              <w:rPr>
                <w:sz w:val="18"/>
              </w:rPr>
              <w:t>5</w:t>
            </w:r>
          </w:p>
        </w:tc>
        <w:tc>
          <w:tcPr>
            <w:tcW w:type="dxa" w:w="2196"/>
            <w:shd w:val="clear" w:color="auto" w:fill="F0F0FF"/>
          </w:tcPr>
          <w:p>
            <w:r>
              <w:rPr>
                <w:sz w:val="18"/>
              </w:rPr>
              <w:t>Customer &amp; Field Engagement</w:t>
            </w:r>
          </w:p>
        </w:tc>
        <w:tc>
          <w:tcPr>
            <w:tcW w:type="dxa" w:w="2196"/>
            <w:shd w:val="clear" w:color="auto" w:fill="F0F0FF"/>
          </w:tcPr>
          <w:p>
            <w:r>
              <w:rPr>
                <w:sz w:val="18"/>
              </w:rPr>
            </w:r>
          </w:p>
        </w:tc>
      </w:tr>
      <w:tr>
        <w:tc>
          <w:tcPr>
            <w:tcW w:type="dxa" w:w="2196"/>
          </w:tcPr>
          <w:p>
            <w:r>
              <w:rPr>
                <w:sz w:val="18"/>
              </w:rPr>
              <w:t>Image Identification/Analysis</w:t>
            </w:r>
          </w:p>
        </w:tc>
        <w:tc>
          <w:tcPr>
            <w:tcW w:type="dxa" w:w="2196"/>
          </w:tcPr>
          <w:p>
            <w:r>
              <w:rPr>
                <w:sz w:val="18"/>
              </w:rPr>
              <w:t>4</w:t>
            </w:r>
          </w:p>
        </w:tc>
        <w:tc>
          <w:tcPr>
            <w:tcW w:type="dxa" w:w="2196"/>
          </w:tcPr>
          <w:p>
            <w:r>
              <w:rPr>
                <w:sz w:val="18"/>
              </w:rPr>
              <w:t>Learning &amp; Governance</w:t>
            </w:r>
          </w:p>
        </w:tc>
        <w:tc>
          <w:tcPr>
            <w:tcW w:type="dxa" w:w="2196"/>
          </w:tcPr>
          <w:p>
            <w:r>
              <w:rPr>
                <w:sz w:val="18"/>
              </w:rPr>
            </w:r>
          </w:p>
        </w:tc>
      </w:tr>
      <w:tr>
        <w:tc>
          <w:tcPr>
            <w:tcW w:type="dxa" w:w="2196"/>
            <w:shd w:val="clear" w:color="auto" w:fill="F0F0FF"/>
          </w:tcPr>
          <w:p>
            <w:r>
              <w:rPr>
                <w:sz w:val="18"/>
              </w:rPr>
              <w:t>Coding Accelerators</w:t>
            </w:r>
          </w:p>
        </w:tc>
        <w:tc>
          <w:tcPr>
            <w:tcW w:type="dxa" w:w="2196"/>
            <w:shd w:val="clear" w:color="auto" w:fill="F0F0FF"/>
          </w:tcPr>
          <w:p>
            <w:r>
              <w:rPr>
                <w:sz w:val="18"/>
              </w:rPr>
              <w:t>4</w:t>
            </w:r>
          </w:p>
        </w:tc>
        <w:tc>
          <w:tcPr>
            <w:tcW w:type="dxa" w:w="2196"/>
            <w:shd w:val="clear" w:color="auto" w:fill="F0F0FF"/>
          </w:tcPr>
          <w:p>
            <w:r>
              <w:rPr>
                <w:sz w:val="18"/>
              </w:rPr>
              <w:t>Engineering &amp; Development</w:t>
            </w:r>
          </w:p>
        </w:tc>
        <w:tc>
          <w:tcPr>
            <w:tcW w:type="dxa" w:w="2196"/>
            <w:shd w:val="clear" w:color="auto" w:fill="F0F0FF"/>
          </w:tcPr>
          <w:p>
            <w:r>
              <w:rPr>
                <w:sz w:val="18"/>
              </w:rPr>
            </w:r>
          </w:p>
        </w:tc>
      </w:tr>
      <w:tr>
        <w:tc>
          <w:tcPr>
            <w:tcW w:type="dxa" w:w="2196"/>
          </w:tcPr>
          <w:p>
            <w:r>
              <w:rPr>
                <w:sz w:val="18"/>
              </w:rPr>
              <w:t>Learning, Training &amp; Coaching</w:t>
            </w:r>
          </w:p>
        </w:tc>
        <w:tc>
          <w:tcPr>
            <w:tcW w:type="dxa" w:w="2196"/>
          </w:tcPr>
          <w:p>
            <w:r>
              <w:rPr>
                <w:sz w:val="18"/>
              </w:rPr>
              <w:t>3</w:t>
            </w:r>
          </w:p>
        </w:tc>
        <w:tc>
          <w:tcPr>
            <w:tcW w:type="dxa" w:w="2196"/>
          </w:tcPr>
          <w:p>
            <w:r>
              <w:rPr>
                <w:sz w:val="18"/>
              </w:rPr>
              <w:t>Learning &amp; Governance</w:t>
            </w:r>
          </w:p>
        </w:tc>
        <w:tc>
          <w:tcPr>
            <w:tcW w:type="dxa" w:w="2196"/>
          </w:tcPr>
          <w:p>
            <w:r>
              <w:rPr>
                <w:sz w:val="18"/>
              </w:rPr>
            </w:r>
          </w:p>
        </w:tc>
      </w:tr>
      <w:tr>
        <w:tc>
          <w:tcPr>
            <w:tcW w:type="dxa" w:w="2196"/>
            <w:shd w:val="clear" w:color="auto" w:fill="F0F0FF"/>
          </w:tcPr>
          <w:p>
            <w:r>
              <w:rPr>
                <w:sz w:val="18"/>
              </w:rPr>
              <w:t>Forecast</w:t>
            </w:r>
          </w:p>
        </w:tc>
        <w:tc>
          <w:tcPr>
            <w:tcW w:type="dxa" w:w="2196"/>
            <w:shd w:val="clear" w:color="auto" w:fill="F0F0FF"/>
          </w:tcPr>
          <w:p>
            <w:r>
              <w:rPr>
                <w:sz w:val="18"/>
              </w:rPr>
              <w:t>1</w:t>
            </w:r>
          </w:p>
        </w:tc>
        <w:tc>
          <w:tcPr>
            <w:tcW w:type="dxa" w:w="2196"/>
            <w:shd w:val="clear" w:color="auto" w:fill="F0F0FF"/>
          </w:tcPr>
          <w:p>
            <w:r>
              <w:rPr>
                <w:sz w:val="18"/>
              </w:rPr>
              <w:t>Insights &amp; Analytics</w:t>
            </w:r>
          </w:p>
        </w:tc>
        <w:tc>
          <w:tcPr>
            <w:tcW w:type="dxa" w:w="2196"/>
            <w:shd w:val="clear" w:color="auto" w:fill="F0F0FF"/>
          </w:tcPr>
          <w:p>
            <w:r>
              <w:rPr>
                <w:sz w:val="18"/>
              </w:rPr>
              <w:t>Nascent</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