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80"/>
        <w:jc w:val="center"/>
      </w:pPr>
      <w:r>
        <w:rPr>
          <w:b/>
          <w:color w:val="1F3564"/>
          <w:sz w:val="44"/>
        </w:rPr>
        <w:t>MULTI-SIGNAL WEARABLE DEVICE PLATFORM</w:t>
      </w:r>
    </w:p>
    <w:p>
      <w:pPr>
        <w:spacing w:after="80"/>
        <w:jc w:val="center"/>
      </w:pPr>
      <w:r>
        <w:rPr>
          <w:color w:val="0070C0"/>
          <w:sz w:val="32"/>
        </w:rPr>
        <w:t>Architecture Design Document</w:t>
      </w:r>
    </w:p>
    <w:p>
      <w:pPr>
        <w:spacing w:after="1200"/>
        <w:jc w:val="center"/>
      </w:pPr>
      <w:r>
        <w:rPr>
          <w:i/>
          <w:color w:val="595959"/>
          <w:sz w:val="20"/>
        </w:rPr>
        <w:t>Version 1.0  ·  October 2026  ·  CONFIDENTIAL</w:t>
      </w:r>
    </w:p>
    <w:tbl>
      <w:tblPr>
        <w:tblStyle w:val="TableGrid"/>
        <w:tblW w:type="auto" w:w="0"/>
        <w:jc w:val="center"/>
        <w:tblLook w:firstColumn="1" w:firstRow="1" w:lastColumn="0" w:lastRow="0" w:noHBand="0" w:noVBand="1" w:val="04A0"/>
      </w:tblPr>
      <w:tblGrid>
        <w:gridCol w:w="4392"/>
        <w:gridCol w:w="4392"/>
      </w:tblGrid>
      <w:tr>
        <w:tc>
          <w:tcPr>
            <w:tcW w:type="dxa" w:w="4392"/>
            <w:shd w:val="clear" w:color="auto" w:fill="1F3564"/>
          </w:tcPr>
          <w:p>
            <w:r>
              <w:rPr>
                <w:b/>
                <w:color w:val="FFFFFF"/>
                <w:sz w:val="18"/>
              </w:rPr>
              <w:t>Document Owner</w:t>
            </w:r>
          </w:p>
        </w:tc>
        <w:tc>
          <w:tcPr>
            <w:tcW w:type="dxa" w:w="4392"/>
            <w:shd w:val="clear" w:color="auto" w:fill="D9E1F2"/>
          </w:tcPr>
          <w:p>
            <w:r>
              <w:rPr>
                <w:sz w:val="18"/>
              </w:rPr>
              <w:t>Enterprise Architecture — Dev Experience</w:t>
            </w:r>
          </w:p>
        </w:tc>
      </w:tr>
      <w:tr>
        <w:tc>
          <w:tcPr>
            <w:tcW w:type="dxa" w:w="4392"/>
            <w:shd w:val="clear" w:color="auto" w:fill="1F3564"/>
          </w:tcPr>
          <w:p>
            <w:r>
              <w:rPr>
                <w:b/>
                <w:color w:val="FFFFFF"/>
                <w:sz w:val="18"/>
              </w:rPr>
              <w:t>Status</w:t>
            </w:r>
          </w:p>
        </w:tc>
        <w:tc>
          <w:tcPr>
            <w:tcW w:type="dxa" w:w="4392"/>
            <w:shd w:val="clear" w:color="auto" w:fill="D9E1F2"/>
          </w:tcPr>
          <w:p>
            <w:r>
              <w:rPr>
                <w:sz w:val="18"/>
              </w:rPr>
              <w:t>Draft</w:t>
            </w:r>
          </w:p>
        </w:tc>
      </w:tr>
      <w:tr>
        <w:tc>
          <w:tcPr>
            <w:tcW w:type="dxa" w:w="4392"/>
            <w:shd w:val="clear" w:color="auto" w:fill="1F3564"/>
          </w:tcPr>
          <w:p>
            <w:r>
              <w:rPr>
                <w:b/>
                <w:color w:val="FFFFFF"/>
                <w:sz w:val="18"/>
              </w:rPr>
              <w:t>Classification</w:t>
            </w:r>
          </w:p>
        </w:tc>
        <w:tc>
          <w:tcPr>
            <w:tcW w:type="dxa" w:w="4392"/>
            <w:shd w:val="clear" w:color="auto" w:fill="D9E1F2"/>
          </w:tcPr>
          <w:p>
            <w:r>
              <w:rPr>
                <w:sz w:val="18"/>
              </w:rPr>
              <w:t>Internal — Confidential</w:t>
            </w:r>
          </w:p>
        </w:tc>
      </w:tr>
      <w:tr>
        <w:tc>
          <w:tcPr>
            <w:tcW w:type="dxa" w:w="4392"/>
            <w:shd w:val="clear" w:color="auto" w:fill="1F3564"/>
          </w:tcPr>
          <w:p>
            <w:r>
              <w:rPr>
                <w:b/>
                <w:color w:val="FFFFFF"/>
                <w:sz w:val="18"/>
              </w:rPr>
              <w:t>Last Updated</w:t>
            </w:r>
          </w:p>
        </w:tc>
        <w:tc>
          <w:tcPr>
            <w:tcW w:type="dxa" w:w="4392"/>
            <w:shd w:val="clear" w:color="auto" w:fill="D9E1F2"/>
          </w:tcPr>
          <w:p>
            <w:r>
              <w:rPr>
                <w:sz w:val="18"/>
              </w:rPr>
              <w:t>October 2026</w:t>
            </w:r>
          </w:p>
        </w:tc>
      </w:tr>
    </w:tbl>
    <w:p>
      <w:r>
        <w:br w:type="page"/>
      </w:r>
    </w:p>
    <w:p>
      <w:pPr>
        <w:pStyle w:val="Heading1"/>
      </w:pPr>
      <w:r>
        <w:rPr>
          <w:b/>
          <w:color w:val="1F3564"/>
        </w:rPr>
        <w:t>Table of Contents</w:t>
      </w:r>
    </w:p>
    <w:p>
      <w:pPr>
        <w:pStyle w:val="ListNumber"/>
        <w:spacing w:after="40"/>
      </w:pPr>
      <w:r>
        <w:rPr>
          <w:sz w:val="20"/>
        </w:rPr>
        <w:t>1. Executive Summary</w:t>
      </w:r>
    </w:p>
    <w:p>
      <w:pPr>
        <w:pStyle w:val="ListNumber"/>
        <w:spacing w:after="40"/>
      </w:pPr>
      <w:r>
        <w:rPr>
          <w:sz w:val="20"/>
        </w:rPr>
        <w:t>2. Scope</w:t>
      </w:r>
    </w:p>
    <w:p>
      <w:pPr>
        <w:pStyle w:val="ListNumber"/>
        <w:spacing w:after="40"/>
      </w:pPr>
      <w:r>
        <w:rPr>
          <w:sz w:val="20"/>
        </w:rPr>
        <w:t>3. Business Objectives</w:t>
      </w:r>
    </w:p>
    <w:p>
      <w:pPr>
        <w:pStyle w:val="ListNumber"/>
        <w:spacing w:after="40"/>
      </w:pPr>
      <w:r>
        <w:rPr>
          <w:sz w:val="20"/>
        </w:rPr>
        <w:t>4. Capability Definitions</w:t>
      </w:r>
    </w:p>
    <w:p>
      <w:pPr>
        <w:pStyle w:val="ListNumber"/>
        <w:spacing w:after="40"/>
      </w:pPr>
      <w:r>
        <w:rPr>
          <w:sz w:val="20"/>
        </w:rPr>
        <w:t>5. Reference Architecture</w:t>
      </w:r>
    </w:p>
    <w:p>
      <w:pPr>
        <w:pStyle w:val="ListNumber"/>
        <w:spacing w:after="40"/>
      </w:pPr>
      <w:r>
        <w:rPr>
          <w:sz w:val="20"/>
        </w:rPr>
        <w:t>6. Solution Approach</w:t>
      </w:r>
    </w:p>
    <w:p>
      <w:pPr>
        <w:pStyle w:val="ListNumber"/>
        <w:spacing w:after="40"/>
      </w:pPr>
      <w:r>
        <w:rPr>
          <w:sz w:val="20"/>
        </w:rPr>
        <w:t>7. Integration Details</w:t>
      </w:r>
    </w:p>
    <w:p>
      <w:pPr>
        <w:pStyle w:val="ListNumber"/>
        <w:spacing w:after="40"/>
      </w:pPr>
      <w:r>
        <w:rPr>
          <w:sz w:val="20"/>
        </w:rPr>
        <w:t>8. Domain-Driven Design</w:t>
      </w:r>
    </w:p>
    <w:p>
      <w:pPr>
        <w:pStyle w:val="ListNumber"/>
        <w:spacing w:after="40"/>
      </w:pPr>
      <w:r>
        <w:rPr>
          <w:sz w:val="20"/>
        </w:rPr>
        <w:t>9. Context Map</w:t>
      </w:r>
    </w:p>
    <w:p>
      <w:pPr>
        <w:pStyle w:val="ListNumber"/>
        <w:spacing w:after="40"/>
      </w:pPr>
      <w:r>
        <w:rPr>
          <w:sz w:val="20"/>
        </w:rPr>
        <w:t>10. Data Flow</w:t>
      </w:r>
    </w:p>
    <w:p>
      <w:pPr>
        <w:pStyle w:val="ListNumber"/>
        <w:spacing w:after="40"/>
      </w:pPr>
      <w:r>
        <w:rPr>
          <w:sz w:val="20"/>
        </w:rPr>
        <w:t>11. Technology Stack &amp; Options</w:t>
      </w:r>
    </w:p>
    <w:p>
      <w:pPr>
        <w:pStyle w:val="ListNumber"/>
        <w:spacing w:after="40"/>
      </w:pPr>
      <w:r>
        <w:rPr>
          <w:sz w:val="20"/>
        </w:rPr>
        <w:t>12. Implementation Phases &amp; Delivery Plan</w:t>
      </w:r>
    </w:p>
    <w:p>
      <w:pPr>
        <w:pStyle w:val="ListNumber"/>
        <w:spacing w:after="40"/>
      </w:pPr>
      <w:r>
        <w:rPr>
          <w:sz w:val="20"/>
        </w:rPr>
        <w:t>13. Glossary &amp; Key Terms</w:t>
      </w:r>
    </w:p>
    <w:p>
      <w:pPr>
        <w:pStyle w:val="ListNumber"/>
        <w:spacing w:after="40"/>
      </w:pPr>
      <w:r>
        <w:rPr>
          <w:sz w:val="20"/>
        </w:rPr>
        <w:t>14. Open Questions &amp; Decisions</w:t>
      </w:r>
    </w:p>
    <w:p>
      <w:r>
        <w:br w:type="page"/>
      </w:r>
    </w:p>
    <w:p>
      <w:pPr>
        <w:pStyle w:val="Heading1"/>
      </w:pPr>
      <w:r>
        <w:rPr>
          <w:b/>
          <w:color w:val="1F3564"/>
        </w:rPr>
        <w:t>1. Executive Summary</w:t>
      </w:r>
    </w:p>
    <w:p>
      <w:pPr>
        <w:spacing w:after="120"/>
      </w:pPr>
      <w:r>
        <w:rPr>
          <w:b w:val="0"/>
          <w:i w:val="0"/>
          <w:color w:val="000000"/>
          <w:sz w:val="20"/>
        </w:rPr>
        <w:t>This document describes the architecture of the Multi-Signal Wearable Device Platform — a clinical-grade IoT and AI platform that continuously monitors six physiological signals from a wearable medical device and delivers actionable clinical insights to patients, clinicians, care teams, researchers, and hospital administrators.</w:t>
      </w:r>
    </w:p>
    <w:p>
      <w:pPr>
        <w:spacing w:after="120"/>
      </w:pPr>
      <w:r>
        <w:rPr>
          <w:b w:val="0"/>
          <w:i w:val="0"/>
          <w:color w:val="000000"/>
          <w:sz w:val="20"/>
        </w:rPr>
        <w:t>The platform is designed around three principles: no patient profile stored on the platform, EMR-vendor-agnostic integration via a Port &amp; Adapter pattern, and a generational capability roadmap that grows from threshold alerting (Gen 1) through predictive composite AI (Gen 3).</w:t>
      </w:r>
    </w:p>
    <w:p>
      <w:pPr>
        <w:spacing w:after="120"/>
      </w:pPr>
      <w:r>
        <w:rPr>
          <w:b w:val="0"/>
          <w:i w:val="0"/>
          <w:color w:val="000000"/>
          <w:sz w:val="20"/>
        </w:rPr>
        <w:t>The architecture follows Domain-Driven Design (DDD) with event-driven bounded contexts, FHIR R4 interoperability, SMART on FHIR authorization, and a novel Device Identity &amp; Binding pattern that enables device-initiated signal flows without storing patient identifiers.</w:t>
      </w:r>
    </w:p>
    <w:p>
      <w:r>
        <w:br w:type="page"/>
      </w:r>
    </w:p>
    <w:p>
      <w:pPr>
        <w:pStyle w:val="Heading1"/>
      </w:pPr>
      <w:r>
        <w:rPr>
          <w:b/>
          <w:color w:val="1F3564"/>
        </w:rPr>
        <w:t>2. Scope</w:t>
      </w:r>
    </w:p>
    <w:p>
      <w:pPr>
        <w:spacing w:after="120"/>
      </w:pPr>
      <w:r>
        <w:rPr>
          <w:b w:val="0"/>
          <w:i w:val="0"/>
          <w:color w:val="000000"/>
          <w:sz w:val="20"/>
        </w:rPr>
        <w:t>This architecture document covers:</w:t>
      </w:r>
    </w:p>
    <w:p>
      <w:pPr>
        <w:pStyle w:val="ListBullet"/>
        <w:spacing w:after="60"/>
      </w:pPr>
      <w:r>
        <w:rPr>
          <w:sz w:val="20"/>
        </w:rPr>
        <w:t>Six-signal wearable device: Bio-impedance, Pressure, pH, SpO₂, Hydrogen Peroxide, Temperature</w:t>
      </w:r>
    </w:p>
    <w:p>
      <w:pPr>
        <w:pStyle w:val="ListBullet"/>
        <w:spacing w:after="60"/>
      </w:pPr>
      <w:r>
        <w:rPr>
          <w:sz w:val="20"/>
        </w:rPr>
        <w:t>Eleven bounded contexts across Core, Supporting, and Generic classifications</w:t>
      </w:r>
    </w:p>
    <w:p>
      <w:pPr>
        <w:pStyle w:val="ListBullet"/>
        <w:spacing w:after="60"/>
      </w:pPr>
      <w:r>
        <w:rPr>
          <w:sz w:val="20"/>
        </w:rPr>
        <w:t>EMR integration with Epic, Oracle Cerner, and any FHIR R4-compliant system via Port &amp; Adapter</w:t>
      </w:r>
    </w:p>
    <w:p>
      <w:pPr>
        <w:pStyle w:val="ListBullet"/>
        <w:spacing w:after="60"/>
      </w:pPr>
      <w:r>
        <w:rPr>
          <w:sz w:val="20"/>
        </w:rPr>
        <w:t>Six personas: Patient, Clinician, Care Team, Researcher, Hospital Administrator, Corporate Administrator</w:t>
      </w:r>
    </w:p>
    <w:p>
      <w:pPr>
        <w:pStyle w:val="ListBullet"/>
        <w:spacing w:after="60"/>
      </w:pPr>
      <w:r>
        <w:rPr>
          <w:sz w:val="20"/>
        </w:rPr>
        <w:t>Three generational releases: Gen 1 → Gen 2 → Gen 3</w:t>
      </w:r>
    </w:p>
    <w:p>
      <w:pPr>
        <w:pStyle w:val="ListBullet"/>
        <w:spacing w:after="60"/>
      </w:pPr>
      <w:r>
        <w:rPr>
          <w:sz w:val="20"/>
        </w:rPr>
        <w:t>Privacy constraints: no patient profile on platform; SMART on FHIR authorization; opaque device-patient token</w:t>
      </w:r>
    </w:p>
    <w:p/>
    <w:p>
      <w:pPr>
        <w:spacing w:after="120"/>
      </w:pPr>
      <w:r>
        <w:rPr>
          <w:b/>
          <w:i w:val="0"/>
          <w:color w:val="000000"/>
          <w:sz w:val="20"/>
        </w:rPr>
        <w:t>Out of scope:</w:t>
      </w:r>
    </w:p>
    <w:p>
      <w:pPr>
        <w:pStyle w:val="ListBullet"/>
        <w:spacing w:after="60"/>
      </w:pPr>
      <w:r>
        <w:rPr>
          <w:sz w:val="20"/>
        </w:rPr>
        <w:t>Device hardware firmware and manufacturing</w:t>
      </w:r>
    </w:p>
    <w:p>
      <w:pPr>
        <w:pStyle w:val="ListBullet"/>
        <w:spacing w:after="60"/>
      </w:pPr>
      <w:r>
        <w:rPr>
          <w:sz w:val="20"/>
        </w:rPr>
        <w:t>EMR system configuration or administration</w:t>
      </w:r>
    </w:p>
    <w:p>
      <w:pPr>
        <w:pStyle w:val="ListBullet"/>
        <w:spacing w:after="60"/>
      </w:pPr>
      <w:r>
        <w:rPr>
          <w:sz w:val="20"/>
        </w:rPr>
        <w:t>Clinical protocol design or FDA clearance strategy</w:t>
      </w:r>
    </w:p>
    <w:p>
      <w:pPr>
        <w:pStyle w:val="ListBullet"/>
        <w:spacing w:after="60"/>
      </w:pPr>
      <w:r>
        <w:rPr>
          <w:sz w:val="20"/>
        </w:rPr>
        <w:t>Enterprise IT infrastructure provisioning</w:t>
      </w:r>
    </w:p>
    <w:p/>
    <w:p>
      <w:pPr>
        <w:pStyle w:val="Heading1"/>
      </w:pPr>
      <w:r>
        <w:rPr>
          <w:b/>
          <w:color w:val="1F3564"/>
        </w:rPr>
        <w:t>3. Business Objectives</w:t>
      </w:r>
    </w:p>
    <w:tbl>
      <w:tblPr>
        <w:tblStyle w:val="TableGrid"/>
        <w:tblW w:type="auto" w:w="0"/>
        <w:jc w:val="left"/>
        <w:tblLook w:firstColumn="1" w:firstRow="1" w:lastColumn="0" w:lastRow="0" w:noHBand="0" w:noVBand="1" w:val="04A0"/>
      </w:tblPr>
      <w:tblGrid>
        <w:gridCol w:w="2928"/>
        <w:gridCol w:w="2928"/>
        <w:gridCol w:w="2928"/>
      </w:tblGrid>
      <w:tr>
        <w:tc>
          <w:tcPr>
            <w:tcW w:type="dxa" w:w="2928"/>
            <w:shd w:val="clear" w:color="auto" w:fill="1F3564"/>
          </w:tcPr>
          <w:p>
            <w:r>
              <w:rPr>
                <w:b/>
                <w:color w:val="FFFFFF"/>
                <w:sz w:val="18"/>
              </w:rPr>
              <w:t>Objective</w:t>
            </w:r>
          </w:p>
        </w:tc>
        <w:tc>
          <w:tcPr>
            <w:tcW w:type="dxa" w:w="2928"/>
            <w:shd w:val="clear" w:color="auto" w:fill="1F3564"/>
          </w:tcPr>
          <w:p>
            <w:r>
              <w:rPr>
                <w:b/>
                <w:color w:val="FFFFFF"/>
                <w:sz w:val="18"/>
              </w:rPr>
              <w:t>Description</w:t>
            </w:r>
          </w:p>
        </w:tc>
        <w:tc>
          <w:tcPr>
            <w:tcW w:type="dxa" w:w="2928"/>
            <w:shd w:val="clear" w:color="auto" w:fill="1F3564"/>
          </w:tcPr>
          <w:p>
            <w:r>
              <w:rPr>
                <w:b/>
                <w:color w:val="FFFFFF"/>
                <w:sz w:val="18"/>
              </w:rPr>
              <w:t>Success Metric</w:t>
            </w:r>
          </w:p>
        </w:tc>
      </w:tr>
      <w:tr>
        <w:tc>
          <w:tcPr>
            <w:tcW w:type="dxa" w:w="2928"/>
            <w:shd w:val="clear" w:color="auto" w:fill="FFFFFF"/>
          </w:tcPr>
          <w:p>
            <w:r>
              <w:rPr>
                <w:sz w:val="18"/>
              </w:rPr>
              <w:t>Continuous Remote Monitoring</w:t>
            </w:r>
          </w:p>
        </w:tc>
        <w:tc>
          <w:tcPr>
            <w:tcW w:type="dxa" w:w="2928"/>
            <w:shd w:val="clear" w:color="auto" w:fill="FFFFFF"/>
          </w:tcPr>
          <w:p>
            <w:r>
              <w:rPr>
                <w:sz w:val="18"/>
              </w:rPr>
              <w:t>Enable continuous multi-signal monitoring outside the hospital setting</w:t>
            </w:r>
          </w:p>
        </w:tc>
        <w:tc>
          <w:tcPr>
            <w:tcW w:type="dxa" w:w="2928"/>
            <w:shd w:val="clear" w:color="auto" w:fill="FFFFFF"/>
          </w:tcPr>
          <w:p>
            <w:r>
              <w:rPr>
                <w:sz w:val="18"/>
              </w:rPr>
              <w:t>≥99.5% signal uptime; P99 latency &lt;5s device-to-insight</w:t>
            </w:r>
          </w:p>
        </w:tc>
      </w:tr>
      <w:tr>
        <w:tc>
          <w:tcPr>
            <w:tcW w:type="dxa" w:w="2928"/>
            <w:shd w:val="clear" w:color="auto" w:fill="EEF2FF"/>
          </w:tcPr>
          <w:p>
            <w:r>
              <w:rPr>
                <w:sz w:val="18"/>
              </w:rPr>
              <w:t>Clinical Decision Support</w:t>
            </w:r>
          </w:p>
        </w:tc>
        <w:tc>
          <w:tcPr>
            <w:tcW w:type="dxa" w:w="2928"/>
            <w:shd w:val="clear" w:color="auto" w:fill="EEF2FF"/>
          </w:tcPr>
          <w:p>
            <w:r>
              <w:rPr>
                <w:sz w:val="18"/>
              </w:rPr>
              <w:t>Deliver AI-driven risk scores and LLM clinical summaries inside the clinician's existing EMR workflow</w:t>
            </w:r>
          </w:p>
        </w:tc>
        <w:tc>
          <w:tcPr>
            <w:tcW w:type="dxa" w:w="2928"/>
            <w:shd w:val="clear" w:color="auto" w:fill="EEF2FF"/>
          </w:tcPr>
          <w:p>
            <w:r>
              <w:rPr>
                <w:sz w:val="18"/>
              </w:rPr>
              <w:t>Risk score available within 30s of observation; SOAP draft accuracy validated by clinical pilot</w:t>
            </w:r>
          </w:p>
        </w:tc>
      </w:tr>
      <w:tr>
        <w:tc>
          <w:tcPr>
            <w:tcW w:type="dxa" w:w="2928"/>
            <w:shd w:val="clear" w:color="auto" w:fill="FFFFFF"/>
          </w:tcPr>
          <w:p>
            <w:r>
              <w:rPr>
                <w:sz w:val="18"/>
              </w:rPr>
              <w:t>EMR Interoperability</w:t>
            </w:r>
          </w:p>
        </w:tc>
        <w:tc>
          <w:tcPr>
            <w:tcW w:type="dxa" w:w="2928"/>
            <w:shd w:val="clear" w:color="auto" w:fill="FFFFFF"/>
          </w:tcPr>
          <w:p>
            <w:r>
              <w:rPr>
                <w:sz w:val="18"/>
              </w:rPr>
              <w:t>Integrate with any FHIR R4-compliant EMR without bespoke per-hospital engineering</w:t>
            </w:r>
          </w:p>
        </w:tc>
        <w:tc>
          <w:tcPr>
            <w:tcW w:type="dxa" w:w="2928"/>
            <w:shd w:val="clear" w:color="auto" w:fill="FFFFFF"/>
          </w:tcPr>
          <w:p>
            <w:r>
              <w:rPr>
                <w:sz w:val="18"/>
              </w:rPr>
              <w:t>Zero platform code changes to onboard a new FHIR R4 EMR</w:t>
            </w:r>
          </w:p>
        </w:tc>
      </w:tr>
      <w:tr>
        <w:tc>
          <w:tcPr>
            <w:tcW w:type="dxa" w:w="2928"/>
            <w:shd w:val="clear" w:color="auto" w:fill="EEF2FF"/>
          </w:tcPr>
          <w:p>
            <w:r>
              <w:rPr>
                <w:sz w:val="18"/>
              </w:rPr>
              <w:t>Patient Privacy</w:t>
            </w:r>
          </w:p>
        </w:tc>
        <w:tc>
          <w:tcPr>
            <w:tcW w:type="dxa" w:w="2928"/>
            <w:shd w:val="clear" w:color="auto" w:fill="EEF2FF"/>
          </w:tcPr>
          <w:p>
            <w:r>
              <w:rPr>
                <w:sz w:val="18"/>
              </w:rPr>
              <w:t>Store no identifiable patient data on the platform</w:t>
            </w:r>
          </w:p>
        </w:tc>
        <w:tc>
          <w:tcPr>
            <w:tcW w:type="dxa" w:w="2928"/>
            <w:shd w:val="clear" w:color="auto" w:fill="EEF2FF"/>
          </w:tcPr>
          <w:p>
            <w:r>
              <w:rPr>
                <w:sz w:val="18"/>
              </w:rPr>
              <w:t>Zero PII/PHI written to platform databases; confirmed by security audit</w:t>
            </w:r>
          </w:p>
        </w:tc>
      </w:tr>
      <w:tr>
        <w:tc>
          <w:tcPr>
            <w:tcW w:type="dxa" w:w="2928"/>
            <w:shd w:val="clear" w:color="auto" w:fill="FFFFFF"/>
          </w:tcPr>
          <w:p>
            <w:r>
              <w:rPr>
                <w:sz w:val="18"/>
              </w:rPr>
              <w:t>Care Escalation</w:t>
            </w:r>
          </w:p>
        </w:tc>
        <w:tc>
          <w:tcPr>
            <w:tcW w:type="dxa" w:w="2928"/>
            <w:shd w:val="clear" w:color="auto" w:fill="FFFFFF"/>
          </w:tcPr>
          <w:p>
            <w:r>
              <w:rPr>
                <w:sz w:val="18"/>
              </w:rPr>
              <w:t>Surface high-risk patients to care teams before acute deterioration</w:t>
            </w:r>
          </w:p>
        </w:tc>
        <w:tc>
          <w:tcPr>
            <w:tcW w:type="dxa" w:w="2928"/>
            <w:shd w:val="clear" w:color="auto" w:fill="FFFFFF"/>
          </w:tcPr>
          <w:p>
            <w:r>
              <w:rPr>
                <w:sz w:val="18"/>
              </w:rPr>
              <w:t>Escalation latency &lt;60s from CDS alert to care team notification</w:t>
            </w:r>
          </w:p>
        </w:tc>
      </w:tr>
      <w:tr>
        <w:tc>
          <w:tcPr>
            <w:tcW w:type="dxa" w:w="2928"/>
            <w:shd w:val="clear" w:color="auto" w:fill="EEF2FF"/>
          </w:tcPr>
          <w:p>
            <w:r>
              <w:rPr>
                <w:sz w:val="18"/>
              </w:rPr>
              <w:t>Research Enablement</w:t>
            </w:r>
          </w:p>
        </w:tc>
        <w:tc>
          <w:tcPr>
            <w:tcW w:type="dxa" w:w="2928"/>
            <w:shd w:val="clear" w:color="auto" w:fill="EEF2FF"/>
          </w:tcPr>
          <w:p>
            <w:r>
              <w:rPr>
                <w:sz w:val="18"/>
              </w:rPr>
              <w:t>Provide researchers with a de-identified cohort explorer and signal export</w:t>
            </w:r>
          </w:p>
        </w:tc>
        <w:tc>
          <w:tcPr>
            <w:tcW w:type="dxa" w:w="2928"/>
            <w:shd w:val="clear" w:color="auto" w:fill="EEF2FF"/>
          </w:tcPr>
          <w:p>
            <w:r>
              <w:rPr>
                <w:sz w:val="18"/>
              </w:rPr>
              <w:t>First research cohort query available within Gen 2 release</w:t>
            </w:r>
          </w:p>
        </w:tc>
      </w:tr>
      <w:tr>
        <w:tc>
          <w:tcPr>
            <w:tcW w:type="dxa" w:w="2928"/>
            <w:shd w:val="clear" w:color="auto" w:fill="FFFFFF"/>
          </w:tcPr>
          <w:p>
            <w:r>
              <w:rPr>
                <w:sz w:val="18"/>
              </w:rPr>
              <w:t>Operational Visibility</w:t>
            </w:r>
          </w:p>
        </w:tc>
        <w:tc>
          <w:tcPr>
            <w:tcW w:type="dxa" w:w="2928"/>
            <w:shd w:val="clear" w:color="auto" w:fill="FFFFFF"/>
          </w:tcPr>
          <w:p>
            <w:r>
              <w:rPr>
                <w:sz w:val="18"/>
              </w:rPr>
              <w:t>Give Corporate Administrators real-time visibility into device fleet health and pipeline SLAs</w:t>
            </w:r>
          </w:p>
        </w:tc>
        <w:tc>
          <w:tcPr>
            <w:tcW w:type="dxa" w:w="2928"/>
            <w:shd w:val="clear" w:color="auto" w:fill="FFFFFF"/>
          </w:tcPr>
          <w:p>
            <w:r>
              <w:rPr>
                <w:sz w:val="18"/>
              </w:rPr>
              <w:t>SLA breach alert within 2 minutes of threshold crossing</w:t>
            </w:r>
          </w:p>
        </w:tc>
      </w:tr>
    </w:tbl>
    <w:p/>
    <w:p>
      <w:r>
        <w:br w:type="page"/>
      </w:r>
    </w:p>
    <w:p>
      <w:pPr>
        <w:pStyle w:val="Heading1"/>
      </w:pPr>
      <w:r>
        <w:rPr>
          <w:b/>
          <w:color w:val="1F3564"/>
        </w:rPr>
        <w:t>4. Capability Definitions</w:t>
      </w:r>
    </w:p>
    <w:p>
      <w:pPr>
        <w:pStyle w:val="Heading2"/>
      </w:pPr>
      <w:r>
        <w:rPr>
          <w:b/>
          <w:color w:val="1F3564"/>
        </w:rPr>
        <w:t>4.1 Signals</w:t>
      </w:r>
    </w:p>
    <w:tbl>
      <w:tblPr>
        <w:tblStyle w:val="TableGrid"/>
        <w:tblW w:type="auto" w:w="0"/>
        <w:jc w:val="left"/>
        <w:tblLook w:firstColumn="1" w:firstRow="1" w:lastColumn="0" w:lastRow="0" w:noHBand="0" w:noVBand="1" w:val="04A0"/>
      </w:tblPr>
      <w:tblGrid>
        <w:gridCol w:w="2928"/>
        <w:gridCol w:w="2928"/>
        <w:gridCol w:w="2928"/>
      </w:tblGrid>
      <w:tr>
        <w:tc>
          <w:tcPr>
            <w:tcW w:type="dxa" w:w="2928"/>
            <w:shd w:val="clear" w:color="auto" w:fill="1F3564"/>
          </w:tcPr>
          <w:p>
            <w:r>
              <w:rPr>
                <w:b/>
                <w:color w:val="FFFFFF"/>
                <w:sz w:val="18"/>
              </w:rPr>
              <w:t>Signal</w:t>
            </w:r>
          </w:p>
        </w:tc>
        <w:tc>
          <w:tcPr>
            <w:tcW w:type="dxa" w:w="2928"/>
            <w:shd w:val="clear" w:color="auto" w:fill="1F3564"/>
          </w:tcPr>
          <w:p>
            <w:r>
              <w:rPr>
                <w:b/>
                <w:color w:val="FFFFFF"/>
                <w:sz w:val="18"/>
              </w:rPr>
              <w:t>Unit</w:t>
            </w:r>
          </w:p>
        </w:tc>
        <w:tc>
          <w:tcPr>
            <w:tcW w:type="dxa" w:w="2928"/>
            <w:shd w:val="clear" w:color="auto" w:fill="1F3564"/>
          </w:tcPr>
          <w:p>
            <w:r>
              <w:rPr>
                <w:b/>
                <w:color w:val="FFFFFF"/>
                <w:sz w:val="18"/>
              </w:rPr>
              <w:t>Clinical Relevance</w:t>
            </w:r>
          </w:p>
        </w:tc>
      </w:tr>
      <w:tr>
        <w:tc>
          <w:tcPr>
            <w:tcW w:type="dxa" w:w="2928"/>
            <w:shd w:val="clear" w:color="auto" w:fill="FFFFFF"/>
          </w:tcPr>
          <w:p>
            <w:r>
              <w:rPr>
                <w:sz w:val="18"/>
              </w:rPr>
              <w:t>Bio-impedance</w:t>
            </w:r>
          </w:p>
        </w:tc>
        <w:tc>
          <w:tcPr>
            <w:tcW w:type="dxa" w:w="2928"/>
            <w:shd w:val="clear" w:color="auto" w:fill="FFFFFF"/>
          </w:tcPr>
          <w:p>
            <w:r>
              <w:rPr>
                <w:sz w:val="18"/>
              </w:rPr>
              <w:t>Ω (Ohms)</w:t>
            </w:r>
          </w:p>
        </w:tc>
        <w:tc>
          <w:tcPr>
            <w:tcW w:type="dxa" w:w="2928"/>
            <w:shd w:val="clear" w:color="auto" w:fill="FFFFFF"/>
          </w:tcPr>
          <w:p>
            <w:r>
              <w:rPr>
                <w:sz w:val="18"/>
              </w:rPr>
              <w:t>Tissue fluid composition; edema detection; body composition index</w:t>
            </w:r>
          </w:p>
        </w:tc>
      </w:tr>
      <w:tr>
        <w:tc>
          <w:tcPr>
            <w:tcW w:type="dxa" w:w="2928"/>
            <w:shd w:val="clear" w:color="auto" w:fill="EEF2FF"/>
          </w:tcPr>
          <w:p>
            <w:r>
              <w:rPr>
                <w:sz w:val="18"/>
              </w:rPr>
              <w:t>Pressure</w:t>
            </w:r>
          </w:p>
        </w:tc>
        <w:tc>
          <w:tcPr>
            <w:tcW w:type="dxa" w:w="2928"/>
            <w:shd w:val="clear" w:color="auto" w:fill="EEF2FF"/>
          </w:tcPr>
          <w:p>
            <w:r>
              <w:rPr>
                <w:sz w:val="18"/>
              </w:rPr>
              <w:t>mmHg</w:t>
            </w:r>
          </w:p>
        </w:tc>
        <w:tc>
          <w:tcPr>
            <w:tcW w:type="dxa" w:w="2928"/>
            <w:shd w:val="clear" w:color="auto" w:fill="EEF2FF"/>
          </w:tcPr>
          <w:p>
            <w:r>
              <w:rPr>
                <w:sz w:val="18"/>
              </w:rPr>
              <w:t>Hemodynamic index; cardiovascular monitoring</w:t>
            </w:r>
          </w:p>
        </w:tc>
      </w:tr>
      <w:tr>
        <w:tc>
          <w:tcPr>
            <w:tcW w:type="dxa" w:w="2928"/>
            <w:shd w:val="clear" w:color="auto" w:fill="FFFFFF"/>
          </w:tcPr>
          <w:p>
            <w:r>
              <w:rPr>
                <w:sz w:val="18"/>
              </w:rPr>
              <w:t>pH</w:t>
            </w:r>
          </w:p>
        </w:tc>
        <w:tc>
          <w:tcPr>
            <w:tcW w:type="dxa" w:w="2928"/>
            <w:shd w:val="clear" w:color="auto" w:fill="FFFFFF"/>
          </w:tcPr>
          <w:p>
            <w:r>
              <w:rPr>
                <w:sz w:val="18"/>
              </w:rPr>
              <w:t>pH units</w:t>
            </w:r>
          </w:p>
        </w:tc>
        <w:tc>
          <w:tcPr>
            <w:tcW w:type="dxa" w:w="2928"/>
            <w:shd w:val="clear" w:color="auto" w:fill="FFFFFF"/>
          </w:tcPr>
          <w:p>
            <w:r>
              <w:rPr>
                <w:sz w:val="18"/>
              </w:rPr>
              <w:t>Tissue acidity; oxidative stress proxy</w:t>
            </w:r>
          </w:p>
        </w:tc>
      </w:tr>
      <w:tr>
        <w:tc>
          <w:tcPr>
            <w:tcW w:type="dxa" w:w="2928"/>
            <w:shd w:val="clear" w:color="auto" w:fill="EEF2FF"/>
          </w:tcPr>
          <w:p>
            <w:r>
              <w:rPr>
                <w:sz w:val="18"/>
              </w:rPr>
              <w:t>SpO₂</w:t>
            </w:r>
          </w:p>
        </w:tc>
        <w:tc>
          <w:tcPr>
            <w:tcW w:type="dxa" w:w="2928"/>
            <w:shd w:val="clear" w:color="auto" w:fill="EEF2FF"/>
          </w:tcPr>
          <w:p>
            <w:r>
              <w:rPr>
                <w:sz w:val="18"/>
              </w:rPr>
              <w:t>%</w:t>
            </w:r>
          </w:p>
        </w:tc>
        <w:tc>
          <w:tcPr>
            <w:tcW w:type="dxa" w:w="2928"/>
            <w:shd w:val="clear" w:color="auto" w:fill="EEF2FF"/>
          </w:tcPr>
          <w:p>
            <w:r>
              <w:rPr>
                <w:sz w:val="18"/>
              </w:rPr>
              <w:t>Blood oxygen saturation; hypoxia detection</w:t>
            </w:r>
          </w:p>
        </w:tc>
      </w:tr>
      <w:tr>
        <w:tc>
          <w:tcPr>
            <w:tcW w:type="dxa" w:w="2928"/>
            <w:shd w:val="clear" w:color="auto" w:fill="FFFFFF"/>
          </w:tcPr>
          <w:p>
            <w:r>
              <w:rPr>
                <w:sz w:val="18"/>
              </w:rPr>
              <w:t>Hydrogen Peroxide (H₂O₂)</w:t>
            </w:r>
          </w:p>
        </w:tc>
        <w:tc>
          <w:tcPr>
            <w:tcW w:type="dxa" w:w="2928"/>
            <w:shd w:val="clear" w:color="auto" w:fill="FFFFFF"/>
          </w:tcPr>
          <w:p>
            <w:r>
              <w:rPr>
                <w:sz w:val="18"/>
              </w:rPr>
              <w:t>μM (micromolar)</w:t>
            </w:r>
          </w:p>
        </w:tc>
        <w:tc>
          <w:tcPr>
            <w:tcW w:type="dxa" w:w="2928"/>
            <w:shd w:val="clear" w:color="auto" w:fill="FFFFFF"/>
          </w:tcPr>
          <w:p>
            <w:r>
              <w:rPr>
                <w:sz w:val="18"/>
              </w:rPr>
              <w:t>Oxidative stress marker; wound healing and inflammation proxy</w:t>
            </w:r>
          </w:p>
        </w:tc>
      </w:tr>
      <w:tr>
        <w:tc>
          <w:tcPr>
            <w:tcW w:type="dxa" w:w="2928"/>
            <w:shd w:val="clear" w:color="auto" w:fill="EEF2FF"/>
          </w:tcPr>
          <w:p>
            <w:r>
              <w:rPr>
                <w:sz w:val="18"/>
              </w:rPr>
              <w:t>Temperature</w:t>
            </w:r>
          </w:p>
        </w:tc>
        <w:tc>
          <w:tcPr>
            <w:tcW w:type="dxa" w:w="2928"/>
            <w:shd w:val="clear" w:color="auto" w:fill="EEF2FF"/>
          </w:tcPr>
          <w:p>
            <w:r>
              <w:rPr>
                <w:sz w:val="18"/>
              </w:rPr>
              <w:t>°C</w:t>
            </w:r>
          </w:p>
        </w:tc>
        <w:tc>
          <w:tcPr>
            <w:tcW w:type="dxa" w:w="2928"/>
            <w:shd w:val="clear" w:color="auto" w:fill="EEF2FF"/>
          </w:tcPr>
          <w:p>
            <w:r>
              <w:rPr>
                <w:sz w:val="18"/>
              </w:rPr>
              <w:t>Fever detection; core body temperature trending</w:t>
            </w:r>
          </w:p>
        </w:tc>
      </w:tr>
    </w:tbl>
    <w:p/>
    <w:p>
      <w:pPr>
        <w:pStyle w:val="Heading2"/>
      </w:pPr>
      <w:r>
        <w:rPr>
          <w:b/>
          <w:color w:val="1F3564"/>
        </w:rPr>
        <w:t>4.2 Personas</w:t>
      </w:r>
    </w:p>
    <w:tbl>
      <w:tblPr>
        <w:tblStyle w:val="TableGrid"/>
        <w:tblW w:type="auto" w:w="0"/>
        <w:jc w:val="left"/>
        <w:tblLook w:firstColumn="1" w:firstRow="1" w:lastColumn="0" w:lastRow="0" w:noHBand="0" w:noVBand="1" w:val="04A0"/>
      </w:tblPr>
      <w:tblGrid>
        <w:gridCol w:w="2928"/>
        <w:gridCol w:w="2928"/>
        <w:gridCol w:w="2928"/>
      </w:tblGrid>
      <w:tr>
        <w:tc>
          <w:tcPr>
            <w:tcW w:type="dxa" w:w="2928"/>
            <w:shd w:val="clear" w:color="auto" w:fill="1F3564"/>
          </w:tcPr>
          <w:p>
            <w:r>
              <w:rPr>
                <w:b/>
                <w:color w:val="FFFFFF"/>
                <w:sz w:val="18"/>
              </w:rPr>
              <w:t>Persona</w:t>
            </w:r>
          </w:p>
        </w:tc>
        <w:tc>
          <w:tcPr>
            <w:tcW w:type="dxa" w:w="2928"/>
            <w:shd w:val="clear" w:color="auto" w:fill="1F3564"/>
          </w:tcPr>
          <w:p>
            <w:r>
              <w:rPr>
                <w:b/>
                <w:color w:val="FFFFFF"/>
                <w:sz w:val="18"/>
              </w:rPr>
              <w:t>Access Channel</w:t>
            </w:r>
          </w:p>
        </w:tc>
        <w:tc>
          <w:tcPr>
            <w:tcW w:type="dxa" w:w="2928"/>
            <w:shd w:val="clear" w:color="auto" w:fill="1F3564"/>
          </w:tcPr>
          <w:p>
            <w:r>
              <w:rPr>
                <w:b/>
                <w:color w:val="FFFFFF"/>
                <w:sz w:val="18"/>
              </w:rPr>
              <w:t>Primary Capabilities</w:t>
            </w:r>
          </w:p>
        </w:tc>
      </w:tr>
      <w:tr>
        <w:tc>
          <w:tcPr>
            <w:tcW w:type="dxa" w:w="2928"/>
            <w:shd w:val="clear" w:color="auto" w:fill="FFFFFF"/>
          </w:tcPr>
          <w:p>
            <w:r>
              <w:rPr>
                <w:sz w:val="18"/>
              </w:rPr>
              <w:t>Patient</w:t>
            </w:r>
          </w:p>
        </w:tc>
        <w:tc>
          <w:tcPr>
            <w:tcW w:type="dxa" w:w="2928"/>
            <w:shd w:val="clear" w:color="auto" w:fill="FFFFFF"/>
          </w:tcPr>
          <w:p>
            <w:r>
              <w:rPr>
                <w:sz w:val="18"/>
              </w:rPr>
              <w:t>Mobile app (iOS / Android)</w:t>
            </w:r>
          </w:p>
        </w:tc>
        <w:tc>
          <w:tcPr>
            <w:tcW w:type="dxa" w:w="2928"/>
            <w:shd w:val="clear" w:color="auto" w:fill="FFFFFF"/>
          </w:tcPr>
          <w:p>
            <w:r>
              <w:rPr>
                <w:sz w:val="18"/>
              </w:rPr>
              <w:t>View simplified vitals, SpO₂/pH/temp trends, plain-language alerts</w:t>
            </w:r>
          </w:p>
        </w:tc>
      </w:tr>
      <w:tr>
        <w:tc>
          <w:tcPr>
            <w:tcW w:type="dxa" w:w="2928"/>
            <w:shd w:val="clear" w:color="auto" w:fill="EEF2FF"/>
          </w:tcPr>
          <w:p>
            <w:r>
              <w:rPr>
                <w:sz w:val="18"/>
              </w:rPr>
              <w:t>Clinician</w:t>
            </w:r>
          </w:p>
        </w:tc>
        <w:tc>
          <w:tcPr>
            <w:tcW w:type="dxa" w:w="2928"/>
            <w:shd w:val="clear" w:color="auto" w:fill="EEF2FF"/>
          </w:tcPr>
          <w:p>
            <w:r>
              <w:rPr>
                <w:sz w:val="18"/>
              </w:rPr>
              <w:t>EMR app via SMART on FHIR</w:t>
            </w:r>
          </w:p>
        </w:tc>
        <w:tc>
          <w:tcPr>
            <w:tcW w:type="dxa" w:w="2928"/>
            <w:shd w:val="clear" w:color="auto" w:fill="EEF2FF"/>
          </w:tcPr>
          <w:p>
            <w:r>
              <w:rPr>
                <w:sz w:val="18"/>
              </w:rPr>
              <w:t>View risk scores, CDS summaries, SOAP draft notes inside EMR workflow</w:t>
            </w:r>
          </w:p>
        </w:tc>
      </w:tr>
      <w:tr>
        <w:tc>
          <w:tcPr>
            <w:tcW w:type="dxa" w:w="2928"/>
            <w:shd w:val="clear" w:color="auto" w:fill="FFFFFF"/>
          </w:tcPr>
          <w:p>
            <w:r>
              <w:rPr>
                <w:sz w:val="18"/>
              </w:rPr>
              <w:t>Care Team</w:t>
            </w:r>
          </w:p>
        </w:tc>
        <w:tc>
          <w:tcPr>
            <w:tcW w:type="dxa" w:w="2928"/>
            <w:shd w:val="clear" w:color="auto" w:fill="FFFFFF"/>
          </w:tcPr>
          <w:p>
            <w:r>
              <w:rPr>
                <w:sz w:val="18"/>
              </w:rPr>
              <w:t>EMR app via SMART on FHIR</w:t>
            </w:r>
          </w:p>
        </w:tc>
        <w:tc>
          <w:tcPr>
            <w:tcW w:type="dxa" w:w="2928"/>
            <w:shd w:val="clear" w:color="auto" w:fill="FFFFFF"/>
          </w:tcPr>
          <w:p>
            <w:r>
              <w:rPr>
                <w:sz w:val="18"/>
              </w:rPr>
              <w:t>Manage escalation queue, panel assignments, deterioration velocity</w:t>
            </w:r>
          </w:p>
        </w:tc>
      </w:tr>
      <w:tr>
        <w:tc>
          <w:tcPr>
            <w:tcW w:type="dxa" w:w="2928"/>
            <w:shd w:val="clear" w:color="auto" w:fill="EEF2FF"/>
          </w:tcPr>
          <w:p>
            <w:r>
              <w:rPr>
                <w:sz w:val="18"/>
              </w:rPr>
              <w:t>Researcher</w:t>
            </w:r>
          </w:p>
        </w:tc>
        <w:tc>
          <w:tcPr>
            <w:tcW w:type="dxa" w:w="2928"/>
            <w:shd w:val="clear" w:color="auto" w:fill="EEF2FF"/>
          </w:tcPr>
          <w:p>
            <w:r>
              <w:rPr>
                <w:sz w:val="18"/>
              </w:rPr>
              <w:t>Platform web app</w:t>
            </w:r>
          </w:p>
        </w:tc>
        <w:tc>
          <w:tcPr>
            <w:tcW w:type="dxa" w:w="2928"/>
            <w:shd w:val="clear" w:color="auto" w:fill="EEF2FF"/>
          </w:tcPr>
          <w:p>
            <w:r>
              <w:rPr>
                <w:sz w:val="18"/>
              </w:rPr>
              <w:t>Cohort explorer, de-identified signal export, feature library</w:t>
            </w:r>
          </w:p>
        </w:tc>
      </w:tr>
      <w:tr>
        <w:tc>
          <w:tcPr>
            <w:tcW w:type="dxa" w:w="2928"/>
            <w:shd w:val="clear" w:color="auto" w:fill="FFFFFF"/>
          </w:tcPr>
          <w:p>
            <w:r>
              <w:rPr>
                <w:sz w:val="18"/>
              </w:rPr>
              <w:t>Hospital Administrator</w:t>
            </w:r>
          </w:p>
        </w:tc>
        <w:tc>
          <w:tcPr>
            <w:tcW w:type="dxa" w:w="2928"/>
            <w:shd w:val="clear" w:color="auto" w:fill="FFFFFF"/>
          </w:tcPr>
          <w:p>
            <w:r>
              <w:rPr>
                <w:sz w:val="18"/>
              </w:rPr>
              <w:t>Platform web app</w:t>
            </w:r>
          </w:p>
        </w:tc>
        <w:tc>
          <w:tcPr>
            <w:tcW w:type="dxa" w:w="2928"/>
            <w:shd w:val="clear" w:color="auto" w:fill="FFFFFF"/>
          </w:tcPr>
          <w:p>
            <w:r>
              <w:rPr>
                <w:sz w:val="18"/>
              </w:rPr>
              <w:t>Population health dashboards, readmission risk stratification</w:t>
            </w:r>
          </w:p>
        </w:tc>
      </w:tr>
      <w:tr>
        <w:tc>
          <w:tcPr>
            <w:tcW w:type="dxa" w:w="2928"/>
            <w:shd w:val="clear" w:color="auto" w:fill="EEF2FF"/>
          </w:tcPr>
          <w:p>
            <w:r>
              <w:rPr>
                <w:sz w:val="18"/>
              </w:rPr>
              <w:t>Corporate Administrator</w:t>
            </w:r>
          </w:p>
        </w:tc>
        <w:tc>
          <w:tcPr>
            <w:tcW w:type="dxa" w:w="2928"/>
            <w:shd w:val="clear" w:color="auto" w:fill="EEF2FF"/>
          </w:tcPr>
          <w:p>
            <w:r>
              <w:rPr>
                <w:sz w:val="18"/>
              </w:rPr>
              <w:t>Platform web app</w:t>
            </w:r>
          </w:p>
        </w:tc>
        <w:tc>
          <w:tcPr>
            <w:tcW w:type="dxa" w:w="2928"/>
            <w:shd w:val="clear" w:color="auto" w:fill="EEF2FF"/>
          </w:tcPr>
          <w:p>
            <w:r>
              <w:rPr>
                <w:sz w:val="18"/>
              </w:rPr>
              <w:t>Device fleet health, pipeline SLA, error codes, data loss events</w:t>
            </w:r>
          </w:p>
        </w:tc>
      </w:tr>
    </w:tbl>
    <w:p/>
    <w:p>
      <w:pPr>
        <w:pStyle w:val="Heading2"/>
      </w:pPr>
      <w:r>
        <w:rPr>
          <w:b/>
          <w:color w:val="1F3564"/>
        </w:rPr>
        <w:t>4.3 Generational Roadmap</w:t>
      </w:r>
    </w:p>
    <w:tbl>
      <w:tblPr>
        <w:tblStyle w:val="TableGrid"/>
        <w:tblW w:type="auto" w:w="0"/>
        <w:jc w:val="left"/>
        <w:tblLook w:firstColumn="1" w:firstRow="1" w:lastColumn="0" w:lastRow="0" w:noHBand="0" w:noVBand="1" w:val="04A0"/>
      </w:tblPr>
      <w:tblGrid>
        <w:gridCol w:w="2196"/>
        <w:gridCol w:w="2196"/>
        <w:gridCol w:w="2196"/>
        <w:gridCol w:w="2196"/>
      </w:tblGrid>
      <w:tr>
        <w:tc>
          <w:tcPr>
            <w:tcW w:type="dxa" w:w="2196"/>
            <w:shd w:val="clear" w:color="auto" w:fill="1F3564"/>
          </w:tcPr>
          <w:p>
            <w:r>
              <w:rPr>
                <w:b/>
                <w:color w:val="FFFFFF"/>
                <w:sz w:val="18"/>
              </w:rPr>
              <w:t>Generation</w:t>
            </w:r>
          </w:p>
        </w:tc>
        <w:tc>
          <w:tcPr>
            <w:tcW w:type="dxa" w:w="2196"/>
            <w:shd w:val="clear" w:color="auto" w:fill="1F3564"/>
          </w:tcPr>
          <w:p>
            <w:r>
              <w:rPr>
                <w:b/>
                <w:color w:val="FFFFFF"/>
                <w:sz w:val="18"/>
              </w:rPr>
              <w:t>Signals Active</w:t>
            </w:r>
          </w:p>
        </w:tc>
        <w:tc>
          <w:tcPr>
            <w:tcW w:type="dxa" w:w="2196"/>
            <w:shd w:val="clear" w:color="auto" w:fill="1F3564"/>
          </w:tcPr>
          <w:p>
            <w:r>
              <w:rPr>
                <w:b/>
                <w:color w:val="FFFFFF"/>
                <w:sz w:val="18"/>
              </w:rPr>
              <w:t>New Capabilities</w:t>
            </w:r>
          </w:p>
        </w:tc>
        <w:tc>
          <w:tcPr>
            <w:tcW w:type="dxa" w:w="2196"/>
            <w:shd w:val="clear" w:color="auto" w:fill="1F3564"/>
          </w:tcPr>
          <w:p>
            <w:r>
              <w:rPr>
                <w:b/>
                <w:color w:val="FFFFFF"/>
                <w:sz w:val="18"/>
              </w:rPr>
              <w:t>New Personas</w:t>
            </w:r>
          </w:p>
        </w:tc>
      </w:tr>
      <w:tr>
        <w:tc>
          <w:tcPr>
            <w:tcW w:type="dxa" w:w="2196"/>
            <w:shd w:val="clear" w:color="auto" w:fill="FFFFFF"/>
          </w:tcPr>
          <w:p>
            <w:r>
              <w:rPr>
                <w:sz w:val="18"/>
              </w:rPr>
              <w:t>Gen 1</w:t>
            </w:r>
          </w:p>
        </w:tc>
        <w:tc>
          <w:tcPr>
            <w:tcW w:type="dxa" w:w="2196"/>
            <w:shd w:val="clear" w:color="auto" w:fill="FFFFFF"/>
          </w:tcPr>
          <w:p>
            <w:r>
              <w:rPr>
                <w:sz w:val="18"/>
              </w:rPr>
              <w:t>Bio-impedance + Temperature</w:t>
            </w:r>
          </w:p>
        </w:tc>
        <w:tc>
          <w:tcPr>
            <w:tcW w:type="dxa" w:w="2196"/>
            <w:shd w:val="clear" w:color="auto" w:fill="FFFFFF"/>
          </w:tcPr>
          <w:p>
            <w:r>
              <w:rPr>
                <w:sz w:val="18"/>
              </w:rPr>
              <w:t>Threshold alerting; device connectivity; patient mobile app; Corporate Admin dashboard</w:t>
            </w:r>
          </w:p>
        </w:tc>
        <w:tc>
          <w:tcPr>
            <w:tcW w:type="dxa" w:w="2196"/>
            <w:shd w:val="clear" w:color="auto" w:fill="FFFFFF"/>
          </w:tcPr>
          <w:p>
            <w:r>
              <w:rPr>
                <w:sz w:val="18"/>
              </w:rPr>
              <w:t>Patient, Corporate Administrator</w:t>
            </w:r>
          </w:p>
        </w:tc>
      </w:tr>
      <w:tr>
        <w:tc>
          <w:tcPr>
            <w:tcW w:type="dxa" w:w="2196"/>
            <w:shd w:val="clear" w:color="auto" w:fill="EEF2FF"/>
          </w:tcPr>
          <w:p>
            <w:r>
              <w:rPr>
                <w:sz w:val="18"/>
              </w:rPr>
              <w:t>Gen 2</w:t>
            </w:r>
          </w:p>
        </w:tc>
        <w:tc>
          <w:tcPr>
            <w:tcW w:type="dxa" w:w="2196"/>
            <w:shd w:val="clear" w:color="auto" w:fill="EEF2FF"/>
          </w:tcPr>
          <w:p>
            <w:r>
              <w:rPr>
                <w:sz w:val="18"/>
              </w:rPr>
              <w:t>+ pH + SpO₂</w:t>
            </w:r>
          </w:p>
        </w:tc>
        <w:tc>
          <w:tcPr>
            <w:tcW w:type="dxa" w:w="2196"/>
            <w:shd w:val="clear" w:color="auto" w:fill="EEF2FF"/>
          </w:tcPr>
          <w:p>
            <w:r>
              <w:rPr>
                <w:sz w:val="18"/>
              </w:rPr>
              <w:t>LLM summaries; SOAP draft write-back; SMART on FHIR EMR embedding; research explorer; population health</w:t>
            </w:r>
          </w:p>
        </w:tc>
        <w:tc>
          <w:tcPr>
            <w:tcW w:type="dxa" w:w="2196"/>
            <w:shd w:val="clear" w:color="auto" w:fill="EEF2FF"/>
          </w:tcPr>
          <w:p>
            <w:r>
              <w:rPr>
                <w:sz w:val="18"/>
              </w:rPr>
              <w:t>+ Clinician, Care Team, Researcher, Hospital Administrator</w:t>
            </w:r>
          </w:p>
        </w:tc>
      </w:tr>
      <w:tr>
        <w:tc>
          <w:tcPr>
            <w:tcW w:type="dxa" w:w="2196"/>
            <w:shd w:val="clear" w:color="auto" w:fill="FFFFFF"/>
          </w:tcPr>
          <w:p>
            <w:r>
              <w:rPr>
                <w:sz w:val="18"/>
              </w:rPr>
              <w:t>Gen 3</w:t>
            </w:r>
          </w:p>
        </w:tc>
        <w:tc>
          <w:tcPr>
            <w:tcW w:type="dxa" w:w="2196"/>
            <w:shd w:val="clear" w:color="auto" w:fill="FFFFFF"/>
          </w:tcPr>
          <w:p>
            <w:r>
              <w:rPr>
                <w:sz w:val="18"/>
              </w:rPr>
              <w:t>+ Hydrogen Peroxide</w:t>
            </w:r>
          </w:p>
        </w:tc>
        <w:tc>
          <w:tcPr>
            <w:tcW w:type="dxa" w:w="2196"/>
            <w:shd w:val="clear" w:color="auto" w:fill="FFFFFF"/>
          </w:tcPr>
          <w:p>
            <w:r>
              <w:rPr>
                <w:sz w:val="18"/>
              </w:rPr>
              <w:t>Full composite risk (all 6 signals); oxidative stress detection; population-scale ML; all personas at full capability</w:t>
            </w:r>
          </w:p>
        </w:tc>
        <w:tc>
          <w:tcPr>
            <w:tcW w:type="dxa" w:w="2196"/>
            <w:shd w:val="clear" w:color="auto" w:fill="FFFFFF"/>
          </w:tcPr>
          <w:p>
            <w:r>
              <w:rPr>
                <w:sz w:val="18"/>
              </w:rPr>
              <w:t>All 6 personas</w:t>
            </w:r>
          </w:p>
        </w:tc>
      </w:tr>
    </w:tbl>
    <w:p/>
    <w:p>
      <w:r>
        <w:br w:type="page"/>
      </w:r>
    </w:p>
    <w:p>
      <w:pPr>
        <w:pStyle w:val="Heading1"/>
      </w:pPr>
      <w:r>
        <w:rPr>
          <w:b/>
          <w:color w:val="1F3564"/>
        </w:rPr>
        <w:t>5. Reference Architecture</w:t>
      </w:r>
    </w:p>
    <w:p>
      <w:pPr>
        <w:spacing w:after="120"/>
      </w:pPr>
      <w:r>
        <w:rPr>
          <w:b w:val="0"/>
          <w:i w:val="0"/>
          <w:color w:val="000000"/>
          <w:sz w:val="20"/>
        </w:rPr>
        <w:t>The reference architecture organizes the platform into five horizontal layers. Data flows top-to-bottom from the physical device through processing, intelligence, and integration to access endpoints.</w:t>
      </w:r>
    </w:p>
    <w:p>
      <w:pPr>
        <w:pStyle w:val="Heading2"/>
      </w:pPr>
      <w:r>
        <w:rPr>
          <w:b/>
          <w:color w:val="1F3564"/>
        </w:rPr>
        <w:t>5.1 Architecture Layers</w:t>
      </w:r>
    </w:p>
    <w:tbl>
      <w:tblPr>
        <w:tblStyle w:val="TableGrid"/>
        <w:tblW w:type="auto" w:w="0"/>
        <w:jc w:val="left"/>
        <w:tblLook w:firstColumn="1" w:firstRow="1" w:lastColumn="0" w:lastRow="0" w:noHBand="0" w:noVBand="1" w:val="04A0"/>
      </w:tblPr>
      <w:tblGrid>
        <w:gridCol w:w="2928"/>
        <w:gridCol w:w="2928"/>
        <w:gridCol w:w="2928"/>
      </w:tblGrid>
      <w:tr>
        <w:tc>
          <w:tcPr>
            <w:tcW w:type="dxa" w:w="2928"/>
            <w:shd w:val="clear" w:color="auto" w:fill="1F3564"/>
          </w:tcPr>
          <w:p>
            <w:r>
              <w:rPr>
                <w:b/>
                <w:color w:val="FFFFFF"/>
                <w:sz w:val="18"/>
              </w:rPr>
              <w:t>Layer</w:t>
            </w:r>
          </w:p>
        </w:tc>
        <w:tc>
          <w:tcPr>
            <w:tcW w:type="dxa" w:w="2928"/>
            <w:shd w:val="clear" w:color="auto" w:fill="1F3564"/>
          </w:tcPr>
          <w:p>
            <w:r>
              <w:rPr>
                <w:b/>
                <w:color w:val="FFFFFF"/>
                <w:sz w:val="18"/>
              </w:rPr>
              <w:t>Components</w:t>
            </w:r>
          </w:p>
        </w:tc>
        <w:tc>
          <w:tcPr>
            <w:tcW w:type="dxa" w:w="2928"/>
            <w:shd w:val="clear" w:color="auto" w:fill="1F3564"/>
          </w:tcPr>
          <w:p>
            <w:r>
              <w:rPr>
                <w:b/>
                <w:color w:val="FFFFFF"/>
                <w:sz w:val="18"/>
              </w:rPr>
              <w:t>Responsibility</w:t>
            </w:r>
          </w:p>
        </w:tc>
      </w:tr>
      <w:tr>
        <w:tc>
          <w:tcPr>
            <w:tcW w:type="dxa" w:w="2928"/>
            <w:shd w:val="clear" w:color="auto" w:fill="FFFFFF"/>
          </w:tcPr>
          <w:p>
            <w:r>
              <w:rPr>
                <w:sz w:val="18"/>
              </w:rPr>
              <w:t>Layer 1 — Device &amp; Edge</w:t>
            </w:r>
          </w:p>
        </w:tc>
        <w:tc>
          <w:tcPr>
            <w:tcW w:type="dxa" w:w="2928"/>
            <w:shd w:val="clear" w:color="auto" w:fill="FFFFFF"/>
          </w:tcPr>
          <w:p>
            <w:r>
              <w:rPr>
                <w:sz w:val="18"/>
              </w:rPr>
              <w:t>Wearable Device, BLE/LTE uplink, Edge Gateway (IoT Greengrass / IoT Edge)</w:t>
            </w:r>
          </w:p>
        </w:tc>
        <w:tc>
          <w:tcPr>
            <w:tcW w:type="dxa" w:w="2928"/>
            <w:shd w:val="clear" w:color="auto" w:fill="FFFFFF"/>
          </w:tcPr>
          <w:p>
            <w:r>
              <w:rPr>
                <w:sz w:val="18"/>
              </w:rPr>
              <w:t>Signal capture, packet transmission, edge pre-processing, packet validation</w:t>
            </w:r>
          </w:p>
        </w:tc>
      </w:tr>
      <w:tr>
        <w:tc>
          <w:tcPr>
            <w:tcW w:type="dxa" w:w="2928"/>
            <w:shd w:val="clear" w:color="auto" w:fill="EEF2FF"/>
          </w:tcPr>
          <w:p>
            <w:r>
              <w:rPr>
                <w:sz w:val="18"/>
              </w:rPr>
              <w:t>Layer 2 — Connectivity &amp; Identity</w:t>
            </w:r>
          </w:p>
        </w:tc>
        <w:tc>
          <w:tcPr>
            <w:tcW w:type="dxa" w:w="2928"/>
            <w:shd w:val="clear" w:color="auto" w:fill="EEF2FF"/>
          </w:tcPr>
          <w:p>
            <w:r>
              <w:rPr>
                <w:sz w:val="18"/>
              </w:rPr>
              <w:t>Device Connectivity, Device Identity &amp; Binding</w:t>
            </w:r>
          </w:p>
        </w:tc>
        <w:tc>
          <w:tcPr>
            <w:tcW w:type="dxa" w:w="2928"/>
            <w:shd w:val="clear" w:color="auto" w:fill="EEF2FF"/>
          </w:tcPr>
          <w:p>
            <w:r>
              <w:rPr>
                <w:sz w:val="18"/>
              </w:rPr>
              <w:t>Ingest validated packets; resolve serial number → patient token; device health monitoring</w:t>
            </w:r>
          </w:p>
        </w:tc>
      </w:tr>
      <w:tr>
        <w:tc>
          <w:tcPr>
            <w:tcW w:type="dxa" w:w="2928"/>
            <w:shd w:val="clear" w:color="auto" w:fill="FFFFFF"/>
          </w:tcPr>
          <w:p>
            <w:r>
              <w:rPr>
                <w:sz w:val="18"/>
              </w:rPr>
              <w:t>Layer 3 — Processing &amp; Intelligence</w:t>
            </w:r>
          </w:p>
        </w:tc>
        <w:tc>
          <w:tcPr>
            <w:tcW w:type="dxa" w:w="2928"/>
            <w:shd w:val="clear" w:color="auto" w:fill="FFFFFF"/>
          </w:tcPr>
          <w:p>
            <w:r>
              <w:rPr>
                <w:sz w:val="18"/>
              </w:rPr>
              <w:t>Signal Processing, Clinical Decision Support</w:t>
            </w:r>
          </w:p>
        </w:tc>
        <w:tc>
          <w:tcPr>
            <w:tcW w:type="dxa" w:w="2928"/>
            <w:shd w:val="clear" w:color="auto" w:fill="FFFFFF"/>
          </w:tcPr>
          <w:p>
            <w:r>
              <w:rPr>
                <w:sz w:val="18"/>
              </w:rPr>
              <w:t>6-signal fusion, derived metrics, baseline computation, risk scoring, anomaly detection, LLM summaries</w:t>
            </w:r>
          </w:p>
        </w:tc>
      </w:tr>
      <w:tr>
        <w:tc>
          <w:tcPr>
            <w:tcW w:type="dxa" w:w="2928"/>
            <w:shd w:val="clear" w:color="auto" w:fill="EEF2FF"/>
          </w:tcPr>
          <w:p>
            <w:r>
              <w:rPr>
                <w:sz w:val="18"/>
              </w:rPr>
              <w:t>Layer 4 — Domain Services</w:t>
            </w:r>
          </w:p>
        </w:tc>
        <w:tc>
          <w:tcPr>
            <w:tcW w:type="dxa" w:w="2928"/>
            <w:shd w:val="clear" w:color="auto" w:fill="EEF2FF"/>
          </w:tcPr>
          <w:p>
            <w:r>
              <w:rPr>
                <w:sz w:val="18"/>
              </w:rPr>
              <w:t>Care Coordination, Patient Engagement, Research Analytics, Population Health, Platform Observability, Audit &amp; Compliance</w:t>
            </w:r>
          </w:p>
        </w:tc>
        <w:tc>
          <w:tcPr>
            <w:tcW w:type="dxa" w:w="2928"/>
            <w:shd w:val="clear" w:color="auto" w:fill="EEF2FF"/>
          </w:tcPr>
          <w:p>
            <w:r>
              <w:rPr>
                <w:sz w:val="18"/>
              </w:rPr>
              <w:t>Domain-specific workflows, dashboards, escalation queues, compliance event log</w:t>
            </w:r>
          </w:p>
        </w:tc>
      </w:tr>
      <w:tr>
        <w:tc>
          <w:tcPr>
            <w:tcW w:type="dxa" w:w="2928"/>
            <w:shd w:val="clear" w:color="auto" w:fill="FFFFFF"/>
          </w:tcPr>
          <w:p>
            <w:r>
              <w:rPr>
                <w:sz w:val="18"/>
              </w:rPr>
              <w:t>Layer 5 — Integration &amp; Access</w:t>
            </w:r>
          </w:p>
        </w:tc>
        <w:tc>
          <w:tcPr>
            <w:tcW w:type="dxa" w:w="2928"/>
            <w:shd w:val="clear" w:color="auto" w:fill="FFFFFF"/>
          </w:tcPr>
          <w:p>
            <w:r>
              <w:rPr>
                <w:sz w:val="18"/>
              </w:rPr>
              <w:t>EMR Integration Gateway (IEMRGateway + Adapters), Platform Web App, Patient Mobile App</w:t>
            </w:r>
          </w:p>
        </w:tc>
        <w:tc>
          <w:tcPr>
            <w:tcW w:type="dxa" w:w="2928"/>
            <w:shd w:val="clear" w:color="auto" w:fill="FFFFFF"/>
          </w:tcPr>
          <w:p>
            <w:r>
              <w:rPr>
                <w:sz w:val="18"/>
              </w:rPr>
              <w:t>FHIR write-back, SMART on FHIR, clinician EMR embedding, researcher/admin web UI, patient mobile</w:t>
            </w:r>
          </w:p>
        </w:tc>
      </w:tr>
    </w:tbl>
    <w:p/>
    <w:p>
      <w:pPr>
        <w:pStyle w:val="Heading2"/>
      </w:pPr>
      <w:r>
        <w:rPr>
          <w:b/>
          <w:color w:val="1F3564"/>
        </w:rPr>
        <w:t>5.2 Cross-Cutting Concerns</w:t>
      </w:r>
    </w:p>
    <w:tbl>
      <w:tblPr>
        <w:tblStyle w:val="TableGrid"/>
        <w:tblW w:type="auto" w:w="0"/>
        <w:jc w:val="left"/>
        <w:tblLook w:firstColumn="1" w:firstRow="1" w:lastColumn="0" w:lastRow="0" w:noHBand="0" w:noVBand="1" w:val="04A0"/>
      </w:tblPr>
      <w:tblGrid>
        <w:gridCol w:w="4392"/>
        <w:gridCol w:w="4392"/>
      </w:tblGrid>
      <w:tr>
        <w:tc>
          <w:tcPr>
            <w:tcW w:type="dxa" w:w="4392"/>
            <w:shd w:val="clear" w:color="auto" w:fill="1F3564"/>
          </w:tcPr>
          <w:p>
            <w:r>
              <w:rPr>
                <w:b/>
                <w:color w:val="FFFFFF"/>
                <w:sz w:val="18"/>
              </w:rPr>
              <w:t>Concern</w:t>
            </w:r>
          </w:p>
        </w:tc>
        <w:tc>
          <w:tcPr>
            <w:tcW w:type="dxa" w:w="4392"/>
            <w:shd w:val="clear" w:color="auto" w:fill="1F3564"/>
          </w:tcPr>
          <w:p>
            <w:r>
              <w:rPr>
                <w:b/>
                <w:color w:val="FFFFFF"/>
                <w:sz w:val="18"/>
              </w:rPr>
              <w:t>Approach</w:t>
            </w:r>
          </w:p>
        </w:tc>
      </w:tr>
      <w:tr>
        <w:tc>
          <w:tcPr>
            <w:tcW w:type="dxa" w:w="4392"/>
            <w:shd w:val="clear" w:color="auto" w:fill="FFFFFF"/>
          </w:tcPr>
          <w:p>
            <w:r>
              <w:rPr>
                <w:sz w:val="18"/>
              </w:rPr>
              <w:t>Event Bus</w:t>
            </w:r>
          </w:p>
        </w:tc>
        <w:tc>
          <w:tcPr>
            <w:tcW w:type="dxa" w:w="4392"/>
            <w:shd w:val="clear" w:color="auto" w:fill="FFFFFF"/>
          </w:tcPr>
          <w:p>
            <w:r>
              <w:rPr>
                <w:sz w:val="18"/>
              </w:rPr>
              <w:t>Apache Kafka — all inter-context communication flows via domain events; no direct service-to-service calls across bounded context boundaries</w:t>
            </w:r>
          </w:p>
        </w:tc>
      </w:tr>
      <w:tr>
        <w:tc>
          <w:tcPr>
            <w:tcW w:type="dxa" w:w="4392"/>
            <w:shd w:val="clear" w:color="auto" w:fill="EEF2FF"/>
          </w:tcPr>
          <w:p>
            <w:r>
              <w:rPr>
                <w:sz w:val="18"/>
              </w:rPr>
              <w:t>Authentication &amp; Authorization</w:t>
            </w:r>
          </w:p>
        </w:tc>
        <w:tc>
          <w:tcPr>
            <w:tcW w:type="dxa" w:w="4392"/>
            <w:shd w:val="clear" w:color="auto" w:fill="EEF2FF"/>
          </w:tcPr>
          <w:p>
            <w:r>
              <w:rPr>
                <w:sz w:val="18"/>
              </w:rPr>
              <w:t>SMART on FHIR (EMR users); OAuth2 + RBAC (platform web app); device certificates (device layer)</w:t>
            </w:r>
          </w:p>
        </w:tc>
      </w:tr>
      <w:tr>
        <w:tc>
          <w:tcPr>
            <w:tcW w:type="dxa" w:w="4392"/>
            <w:shd w:val="clear" w:color="auto" w:fill="FFFFFF"/>
          </w:tcPr>
          <w:p>
            <w:r>
              <w:rPr>
                <w:sz w:val="18"/>
              </w:rPr>
              <w:t>Observability</w:t>
            </w:r>
          </w:p>
        </w:tc>
        <w:tc>
          <w:tcPr>
            <w:tcW w:type="dxa" w:w="4392"/>
            <w:shd w:val="clear" w:color="auto" w:fill="FFFFFF"/>
          </w:tcPr>
          <w:p>
            <w:r>
              <w:rPr>
                <w:sz w:val="18"/>
              </w:rPr>
              <w:t>Prometheus + Grafana (metrics); structured JSON logging; PagerDuty (alerting); OpenLineage (data lineage)</w:t>
            </w:r>
          </w:p>
        </w:tc>
      </w:tr>
      <w:tr>
        <w:tc>
          <w:tcPr>
            <w:tcW w:type="dxa" w:w="4392"/>
            <w:shd w:val="clear" w:color="auto" w:fill="EEF2FF"/>
          </w:tcPr>
          <w:p>
            <w:r>
              <w:rPr>
                <w:sz w:val="18"/>
              </w:rPr>
              <w:t>Secret Management</w:t>
            </w:r>
          </w:p>
        </w:tc>
        <w:tc>
          <w:tcPr>
            <w:tcW w:type="dxa" w:w="4392"/>
            <w:shd w:val="clear" w:color="auto" w:fill="EEF2FF"/>
          </w:tcPr>
          <w:p>
            <w:r>
              <w:rPr>
                <w:sz w:val="18"/>
              </w:rPr>
              <w:t>AWS Secrets Manager / Azure Key Vault — HMAC keys, API tokens, database credentials</w:t>
            </w:r>
          </w:p>
        </w:tc>
      </w:tr>
      <w:tr>
        <w:tc>
          <w:tcPr>
            <w:tcW w:type="dxa" w:w="4392"/>
            <w:shd w:val="clear" w:color="auto" w:fill="FFFFFF"/>
          </w:tcPr>
          <w:p>
            <w:r>
              <w:rPr>
                <w:sz w:val="18"/>
              </w:rPr>
              <w:t>Data Privacy</w:t>
            </w:r>
          </w:p>
        </w:tc>
        <w:tc>
          <w:tcPr>
            <w:tcW w:type="dxa" w:w="4392"/>
            <w:shd w:val="clear" w:color="auto" w:fill="FFFFFF"/>
          </w:tcPr>
          <w:p>
            <w:r>
              <w:rPr>
                <w:sz w:val="18"/>
              </w:rPr>
              <w:t>PatientReference session-only; DevicePatientToken one-way hash; no PII/PHI in platform databases; WORM audit log</w:t>
            </w:r>
          </w:p>
        </w:tc>
      </w:tr>
      <w:tr>
        <w:tc>
          <w:tcPr>
            <w:tcW w:type="dxa" w:w="4392"/>
            <w:shd w:val="clear" w:color="auto" w:fill="EEF2FF"/>
          </w:tcPr>
          <w:p>
            <w:r>
              <w:rPr>
                <w:sz w:val="18"/>
              </w:rPr>
              <w:t>Scalability</w:t>
            </w:r>
          </w:p>
        </w:tc>
        <w:tc>
          <w:tcPr>
            <w:tcW w:type="dxa" w:w="4392"/>
            <w:shd w:val="clear" w:color="auto" w:fill="EEF2FF"/>
          </w:tcPr>
          <w:p>
            <w:r>
              <w:rPr>
                <w:sz w:val="18"/>
              </w:rPr>
              <w:t>Kafka-backed async processing; stateless microservices; Redis for hot path (baseline, binding lookup); InfluxDB for time-series scale</w:t>
            </w:r>
          </w:p>
        </w:tc>
      </w:tr>
      <w:tr>
        <w:tc>
          <w:tcPr>
            <w:tcW w:type="dxa" w:w="4392"/>
            <w:shd w:val="clear" w:color="auto" w:fill="FFFFFF"/>
          </w:tcPr>
          <w:p>
            <w:r>
              <w:rPr>
                <w:sz w:val="18"/>
              </w:rPr>
              <w:t>Compliance</w:t>
            </w:r>
          </w:p>
        </w:tc>
        <w:tc>
          <w:tcPr>
            <w:tcW w:type="dxa" w:w="4392"/>
            <w:shd w:val="clear" w:color="auto" w:fill="FFFFFF"/>
          </w:tcPr>
          <w:p>
            <w:r>
              <w:rPr>
                <w:sz w:val="18"/>
              </w:rPr>
              <w:t>HIPAA BAA with cloud providers; immutable audit log; OpenLineage lineage; consent tracking; SaMD classification TBD</w:t>
            </w:r>
          </w:p>
        </w:tc>
      </w:tr>
    </w:tbl>
    <w:p/>
    <w:p>
      <w:r>
        <w:br w:type="page"/>
      </w:r>
    </w:p>
    <w:p>
      <w:pPr>
        <w:pStyle w:val="Heading1"/>
      </w:pPr>
      <w:r>
        <w:rPr>
          <w:b/>
          <w:color w:val="1F3564"/>
        </w:rPr>
        <w:t>6. Solution Approach</w:t>
      </w:r>
    </w:p>
    <w:p>
      <w:pPr>
        <w:pStyle w:val="Heading2"/>
      </w:pPr>
      <w:r>
        <w:rPr>
          <w:b/>
          <w:color w:val="1F3564"/>
        </w:rPr>
        <w:t>6.1 Architecture Principles</w:t>
      </w:r>
    </w:p>
    <w:p>
      <w:pPr>
        <w:spacing w:after="80"/>
      </w:pPr>
      <w:r>
        <w:rPr>
          <w:b/>
          <w:sz w:val="20"/>
        </w:rPr>
        <w:t xml:space="preserve">No patient profile on platform: </w:t>
      </w:r>
      <w:r>
        <w:rPr>
          <w:sz w:val="20"/>
        </w:rPr>
        <w:t>PatientReference is session-only (FHIR Patient ID from SMART on FHIR). DevicePatientToken is a one-way HMAC hash. No name, DOB, MRN, or clinical history stored.</w:t>
      </w:r>
    </w:p>
    <w:p>
      <w:pPr>
        <w:spacing w:after="80"/>
      </w:pPr>
      <w:r>
        <w:rPr>
          <w:b/>
          <w:sz w:val="20"/>
        </w:rPr>
        <w:t xml:space="preserve">EMR-vendor-agnostic: </w:t>
      </w:r>
      <w:r>
        <w:rPr>
          <w:sz w:val="20"/>
        </w:rPr>
        <w:t>Port &amp; Adapter pattern (IEMRGateway). Adding a new EMR = one new adapter. No platform core changes.</w:t>
      </w:r>
    </w:p>
    <w:p>
      <w:pPr>
        <w:spacing w:after="80"/>
      </w:pPr>
      <w:r>
        <w:rPr>
          <w:b/>
          <w:sz w:val="20"/>
        </w:rPr>
        <w:t xml:space="preserve">Event-driven: </w:t>
      </w:r>
      <w:r>
        <w:rPr>
          <w:sz w:val="20"/>
        </w:rPr>
        <w:t>Bounded contexts communicate via Kafka domain events. No synchronous cross-context calls.</w:t>
      </w:r>
    </w:p>
    <w:p>
      <w:pPr>
        <w:spacing w:after="80"/>
      </w:pPr>
      <w:r>
        <w:rPr>
          <w:b/>
          <w:sz w:val="20"/>
        </w:rPr>
        <w:t xml:space="preserve">AI-augmented, not AI-dependent: </w:t>
      </w:r>
      <w:r>
        <w:rPr>
          <w:sz w:val="20"/>
        </w:rPr>
        <w:t>LLM outputs are presented as suggestions. Clinicians review and accept before write-back to EMR.</w:t>
      </w:r>
    </w:p>
    <w:p>
      <w:pPr>
        <w:spacing w:after="80"/>
      </w:pPr>
      <w:r>
        <w:rPr>
          <w:b/>
          <w:sz w:val="20"/>
        </w:rPr>
        <w:t xml:space="preserve">Generational delivery: </w:t>
      </w:r>
      <w:r>
        <w:rPr>
          <w:sz w:val="20"/>
        </w:rPr>
        <w:t>Three generations tied to signal activation. Reduces clinical validation scope per release.</w:t>
      </w:r>
    </w:p>
    <w:p>
      <w:pPr>
        <w:spacing w:after="80"/>
      </w:pPr>
      <w:r>
        <w:rPr>
          <w:b/>
          <w:sz w:val="20"/>
        </w:rPr>
        <w:t xml:space="preserve">Hyperscaler-agnostic: </w:t>
      </w:r>
      <w:r>
        <w:rPr>
          <w:sz w:val="20"/>
        </w:rPr>
        <w:t>AWS and Azure equivalents specified for every component. No proprietary lock-in beyond commodity primitives.</w:t>
      </w:r>
    </w:p>
    <w:p/>
    <w:p>
      <w:pPr>
        <w:pStyle w:val="Heading2"/>
      </w:pPr>
      <w:r>
        <w:rPr>
          <w:b/>
          <w:color w:val="1F3564"/>
        </w:rPr>
        <w:t>6.2 Bounded Context Overview</w:t>
      </w:r>
    </w:p>
    <w:tbl>
      <w:tblPr>
        <w:tblStyle w:val="TableGrid"/>
        <w:tblW w:type="auto" w:w="0"/>
        <w:jc w:val="left"/>
        <w:tblLook w:firstColumn="1" w:firstRow="1" w:lastColumn="0" w:lastRow="0" w:noHBand="0" w:noVBand="1" w:val="04A0"/>
      </w:tblPr>
      <w:tblGrid>
        <w:gridCol w:w="2928"/>
        <w:gridCol w:w="2928"/>
        <w:gridCol w:w="2928"/>
      </w:tblGrid>
      <w:tr>
        <w:tc>
          <w:tcPr>
            <w:tcW w:type="dxa" w:w="2928"/>
            <w:shd w:val="clear" w:color="auto" w:fill="1F3564"/>
          </w:tcPr>
          <w:p>
            <w:r>
              <w:rPr>
                <w:b/>
                <w:color w:val="FFFFFF"/>
                <w:sz w:val="18"/>
              </w:rPr>
              <w:t>Bounded Context</w:t>
            </w:r>
          </w:p>
        </w:tc>
        <w:tc>
          <w:tcPr>
            <w:tcW w:type="dxa" w:w="2928"/>
            <w:shd w:val="clear" w:color="auto" w:fill="1F3564"/>
          </w:tcPr>
          <w:p>
            <w:r>
              <w:rPr>
                <w:b/>
                <w:color w:val="FFFFFF"/>
                <w:sz w:val="18"/>
              </w:rPr>
              <w:t>Type</w:t>
            </w:r>
          </w:p>
        </w:tc>
        <w:tc>
          <w:tcPr>
            <w:tcW w:type="dxa" w:w="2928"/>
            <w:shd w:val="clear" w:color="auto" w:fill="1F3564"/>
          </w:tcPr>
          <w:p>
            <w:r>
              <w:rPr>
                <w:b/>
                <w:color w:val="FFFFFF"/>
                <w:sz w:val="18"/>
              </w:rPr>
              <w:t>Responsibility</w:t>
            </w:r>
          </w:p>
        </w:tc>
      </w:tr>
      <w:tr>
        <w:tc>
          <w:tcPr>
            <w:tcW w:type="dxa" w:w="2928"/>
            <w:shd w:val="clear" w:color="auto" w:fill="FFFFFF"/>
          </w:tcPr>
          <w:p>
            <w:r>
              <w:rPr>
                <w:sz w:val="18"/>
              </w:rPr>
              <w:t>Signal Processing</w:t>
            </w:r>
          </w:p>
        </w:tc>
        <w:tc>
          <w:tcPr>
            <w:tcW w:type="dxa" w:w="2928"/>
            <w:shd w:val="clear" w:color="auto" w:fill="FFFFFF"/>
          </w:tcPr>
          <w:p>
            <w:r>
              <w:rPr>
                <w:sz w:val="18"/>
              </w:rPr>
              <w:t>Core</w:t>
            </w:r>
          </w:p>
        </w:tc>
        <w:tc>
          <w:tcPr>
            <w:tcW w:type="dxa" w:w="2928"/>
            <w:shd w:val="clear" w:color="auto" w:fill="FFFFFF"/>
          </w:tcPr>
          <w:p>
            <w:r>
              <w:rPr>
                <w:sz w:val="18"/>
              </w:rPr>
              <w:t>6-signal fusion, derived metrics, baseline, quality scoring</w:t>
            </w:r>
          </w:p>
        </w:tc>
      </w:tr>
      <w:tr>
        <w:tc>
          <w:tcPr>
            <w:tcW w:type="dxa" w:w="2928"/>
            <w:shd w:val="clear" w:color="auto" w:fill="EEF2FF"/>
          </w:tcPr>
          <w:p>
            <w:r>
              <w:rPr>
                <w:sz w:val="18"/>
              </w:rPr>
              <w:t>Clinical Decision Support</w:t>
            </w:r>
          </w:p>
        </w:tc>
        <w:tc>
          <w:tcPr>
            <w:tcW w:type="dxa" w:w="2928"/>
            <w:shd w:val="clear" w:color="auto" w:fill="EEF2FF"/>
          </w:tcPr>
          <w:p>
            <w:r>
              <w:rPr>
                <w:sz w:val="18"/>
              </w:rPr>
              <w:t>Core</w:t>
            </w:r>
          </w:p>
        </w:tc>
        <w:tc>
          <w:tcPr>
            <w:tcW w:type="dxa" w:w="2928"/>
            <w:shd w:val="clear" w:color="auto" w:fill="EEF2FF"/>
          </w:tcPr>
          <w:p>
            <w:r>
              <w:rPr>
                <w:sz w:val="18"/>
              </w:rPr>
              <w:t>Risk scoring (0–100), anomaly detection, LLM summaries, SOAP drafts</w:t>
            </w:r>
          </w:p>
        </w:tc>
      </w:tr>
      <w:tr>
        <w:tc>
          <w:tcPr>
            <w:tcW w:type="dxa" w:w="2928"/>
            <w:shd w:val="clear" w:color="auto" w:fill="FFFFFF"/>
          </w:tcPr>
          <w:p>
            <w:r>
              <w:rPr>
                <w:sz w:val="18"/>
              </w:rPr>
              <w:t>Patient Engagement</w:t>
            </w:r>
          </w:p>
        </w:tc>
        <w:tc>
          <w:tcPr>
            <w:tcW w:type="dxa" w:w="2928"/>
            <w:shd w:val="clear" w:color="auto" w:fill="FFFFFF"/>
          </w:tcPr>
          <w:p>
            <w:r>
              <w:rPr>
                <w:sz w:val="18"/>
              </w:rPr>
              <w:t>Supporting</w:t>
            </w:r>
          </w:p>
        </w:tc>
        <w:tc>
          <w:tcPr>
            <w:tcW w:type="dxa" w:w="2928"/>
            <w:shd w:val="clear" w:color="auto" w:fill="FFFFFF"/>
          </w:tcPr>
          <w:p>
            <w:r>
              <w:rPr>
                <w:sz w:val="18"/>
              </w:rPr>
              <w:t>Simplified vitals, trends, plain-language alerts for patient mobile</w:t>
            </w:r>
          </w:p>
        </w:tc>
      </w:tr>
      <w:tr>
        <w:tc>
          <w:tcPr>
            <w:tcW w:type="dxa" w:w="2928"/>
            <w:shd w:val="clear" w:color="auto" w:fill="EEF2FF"/>
          </w:tcPr>
          <w:p>
            <w:r>
              <w:rPr>
                <w:sz w:val="18"/>
              </w:rPr>
              <w:t>Care Coordination</w:t>
            </w:r>
          </w:p>
        </w:tc>
        <w:tc>
          <w:tcPr>
            <w:tcW w:type="dxa" w:w="2928"/>
            <w:shd w:val="clear" w:color="auto" w:fill="EEF2FF"/>
          </w:tcPr>
          <w:p>
            <w:r>
              <w:rPr>
                <w:sz w:val="18"/>
              </w:rPr>
              <w:t>Supporting</w:t>
            </w:r>
          </w:p>
        </w:tc>
        <w:tc>
          <w:tcPr>
            <w:tcW w:type="dxa" w:w="2928"/>
            <w:shd w:val="clear" w:color="auto" w:fill="EEF2FF"/>
          </w:tcPr>
          <w:p>
            <w:r>
              <w:rPr>
                <w:sz w:val="18"/>
              </w:rPr>
              <w:t>Escalation queue, panel assignment, deterioration velocity</w:t>
            </w:r>
          </w:p>
        </w:tc>
      </w:tr>
      <w:tr>
        <w:tc>
          <w:tcPr>
            <w:tcW w:type="dxa" w:w="2928"/>
            <w:shd w:val="clear" w:color="auto" w:fill="FFFFFF"/>
          </w:tcPr>
          <w:p>
            <w:r>
              <w:rPr>
                <w:sz w:val="18"/>
              </w:rPr>
              <w:t>Research Analytics</w:t>
            </w:r>
          </w:p>
        </w:tc>
        <w:tc>
          <w:tcPr>
            <w:tcW w:type="dxa" w:w="2928"/>
            <w:shd w:val="clear" w:color="auto" w:fill="FFFFFF"/>
          </w:tcPr>
          <w:p>
            <w:r>
              <w:rPr>
                <w:sz w:val="18"/>
              </w:rPr>
              <w:t>Supporting</w:t>
            </w:r>
          </w:p>
        </w:tc>
        <w:tc>
          <w:tcPr>
            <w:tcW w:type="dxa" w:w="2928"/>
            <w:shd w:val="clear" w:color="auto" w:fill="FFFFFF"/>
          </w:tcPr>
          <w:p>
            <w:r>
              <w:rPr>
                <w:sz w:val="18"/>
              </w:rPr>
              <w:t>De-identified cohort explorer, signal export, feature library</w:t>
            </w:r>
          </w:p>
        </w:tc>
      </w:tr>
      <w:tr>
        <w:tc>
          <w:tcPr>
            <w:tcW w:type="dxa" w:w="2928"/>
            <w:shd w:val="clear" w:color="auto" w:fill="EEF2FF"/>
          </w:tcPr>
          <w:p>
            <w:r>
              <w:rPr>
                <w:sz w:val="18"/>
              </w:rPr>
              <w:t>Population Health</w:t>
            </w:r>
          </w:p>
        </w:tc>
        <w:tc>
          <w:tcPr>
            <w:tcW w:type="dxa" w:w="2928"/>
            <w:shd w:val="clear" w:color="auto" w:fill="EEF2FF"/>
          </w:tcPr>
          <w:p>
            <w:r>
              <w:rPr>
                <w:sz w:val="18"/>
              </w:rPr>
              <w:t>Supporting</w:t>
            </w:r>
          </w:p>
        </w:tc>
        <w:tc>
          <w:tcPr>
            <w:tcW w:type="dxa" w:w="2928"/>
            <w:shd w:val="clear" w:color="auto" w:fill="EEF2FF"/>
          </w:tcPr>
          <w:p>
            <w:r>
              <w:rPr>
                <w:sz w:val="18"/>
              </w:rPr>
              <w:t>Risk stratification dashboards, readmission scoring</w:t>
            </w:r>
          </w:p>
        </w:tc>
      </w:tr>
      <w:tr>
        <w:tc>
          <w:tcPr>
            <w:tcW w:type="dxa" w:w="2928"/>
            <w:shd w:val="clear" w:color="auto" w:fill="FFFFFF"/>
          </w:tcPr>
          <w:p>
            <w:r>
              <w:rPr>
                <w:sz w:val="18"/>
              </w:rPr>
              <w:t>Platform Observability</w:t>
            </w:r>
          </w:p>
        </w:tc>
        <w:tc>
          <w:tcPr>
            <w:tcW w:type="dxa" w:w="2928"/>
            <w:shd w:val="clear" w:color="auto" w:fill="FFFFFF"/>
          </w:tcPr>
          <w:p>
            <w:r>
              <w:rPr>
                <w:sz w:val="18"/>
              </w:rPr>
              <w:t>Supporting</w:t>
            </w:r>
          </w:p>
        </w:tc>
        <w:tc>
          <w:tcPr>
            <w:tcW w:type="dxa" w:w="2928"/>
            <w:shd w:val="clear" w:color="auto" w:fill="FFFFFF"/>
          </w:tcPr>
          <w:p>
            <w:r>
              <w:rPr>
                <w:sz w:val="18"/>
              </w:rPr>
              <w:t>Device fleet health, pipeline SLA, error codes, data loss</w:t>
            </w:r>
          </w:p>
        </w:tc>
      </w:tr>
      <w:tr>
        <w:tc>
          <w:tcPr>
            <w:tcW w:type="dxa" w:w="2928"/>
            <w:shd w:val="clear" w:color="auto" w:fill="EEF2FF"/>
          </w:tcPr>
          <w:p>
            <w:r>
              <w:rPr>
                <w:sz w:val="18"/>
              </w:rPr>
              <w:t>Device Identity &amp; Binding</w:t>
            </w:r>
          </w:p>
        </w:tc>
        <w:tc>
          <w:tcPr>
            <w:tcW w:type="dxa" w:w="2928"/>
            <w:shd w:val="clear" w:color="auto" w:fill="EEF2FF"/>
          </w:tcPr>
          <w:p>
            <w:r>
              <w:rPr>
                <w:sz w:val="18"/>
              </w:rPr>
              <w:t>Generic</w:t>
            </w:r>
          </w:p>
        </w:tc>
        <w:tc>
          <w:tcPr>
            <w:tcW w:type="dxa" w:w="2928"/>
            <w:shd w:val="clear" w:color="auto" w:fill="EEF2FF"/>
          </w:tcPr>
          <w:p>
            <w:r>
              <w:rPr>
                <w:sz w:val="18"/>
              </w:rPr>
              <w:t>Serial number → DevicePatientToken mapping</w:t>
            </w:r>
          </w:p>
        </w:tc>
      </w:tr>
      <w:tr>
        <w:tc>
          <w:tcPr>
            <w:tcW w:type="dxa" w:w="2928"/>
            <w:shd w:val="clear" w:color="auto" w:fill="FFFFFF"/>
          </w:tcPr>
          <w:p>
            <w:r>
              <w:rPr>
                <w:sz w:val="18"/>
              </w:rPr>
              <w:t>Audit &amp; Compliance</w:t>
            </w:r>
          </w:p>
        </w:tc>
        <w:tc>
          <w:tcPr>
            <w:tcW w:type="dxa" w:w="2928"/>
            <w:shd w:val="clear" w:color="auto" w:fill="FFFFFF"/>
          </w:tcPr>
          <w:p>
            <w:r>
              <w:rPr>
                <w:sz w:val="18"/>
              </w:rPr>
              <w:t>Generic</w:t>
            </w:r>
          </w:p>
        </w:tc>
        <w:tc>
          <w:tcPr>
            <w:tcW w:type="dxa" w:w="2928"/>
            <w:shd w:val="clear" w:color="auto" w:fill="FFFFFF"/>
          </w:tcPr>
          <w:p>
            <w:r>
              <w:rPr>
                <w:sz w:val="18"/>
              </w:rPr>
              <w:t>Immutable event log, consent, OpenLineage lineage</w:t>
            </w:r>
          </w:p>
        </w:tc>
      </w:tr>
      <w:tr>
        <w:tc>
          <w:tcPr>
            <w:tcW w:type="dxa" w:w="2928"/>
            <w:shd w:val="clear" w:color="auto" w:fill="EEF2FF"/>
          </w:tcPr>
          <w:p>
            <w:r>
              <w:rPr>
                <w:sz w:val="18"/>
              </w:rPr>
              <w:t>Device Connectivity</w:t>
            </w:r>
          </w:p>
        </w:tc>
        <w:tc>
          <w:tcPr>
            <w:tcW w:type="dxa" w:w="2928"/>
            <w:shd w:val="clear" w:color="auto" w:fill="EEF2FF"/>
          </w:tcPr>
          <w:p>
            <w:r>
              <w:rPr>
                <w:sz w:val="18"/>
              </w:rPr>
              <w:t>Generic</w:t>
            </w:r>
          </w:p>
        </w:tc>
        <w:tc>
          <w:tcPr>
            <w:tcW w:type="dxa" w:w="2928"/>
            <w:shd w:val="clear" w:color="auto" w:fill="EEF2FF"/>
          </w:tcPr>
          <w:p>
            <w:r>
              <w:rPr>
                <w:sz w:val="18"/>
              </w:rPr>
              <w:t>BLE/LTE uplink, edge pre-processing, packet validation</w:t>
            </w:r>
          </w:p>
        </w:tc>
      </w:tr>
      <w:tr>
        <w:tc>
          <w:tcPr>
            <w:tcW w:type="dxa" w:w="2928"/>
            <w:shd w:val="clear" w:color="auto" w:fill="FFFFFF"/>
          </w:tcPr>
          <w:p>
            <w:r>
              <w:rPr>
                <w:sz w:val="18"/>
              </w:rPr>
              <w:t>EMR Integration Gateway</w:t>
            </w:r>
          </w:p>
        </w:tc>
        <w:tc>
          <w:tcPr>
            <w:tcW w:type="dxa" w:w="2928"/>
            <w:shd w:val="clear" w:color="auto" w:fill="FFFFFF"/>
          </w:tcPr>
          <w:p>
            <w:r>
              <w:rPr>
                <w:sz w:val="18"/>
              </w:rPr>
              <w:t>Generic</w:t>
            </w:r>
          </w:p>
        </w:tc>
        <w:tc>
          <w:tcPr>
            <w:tcW w:type="dxa" w:w="2928"/>
            <w:shd w:val="clear" w:color="auto" w:fill="FFFFFF"/>
          </w:tcPr>
          <w:p>
            <w:r>
              <w:rPr>
                <w:sz w:val="18"/>
              </w:rPr>
              <w:t>IEMRGateway port + EpicAdapter, CernerAdapter, GenericFHIRAdapter</w:t>
            </w:r>
          </w:p>
        </w:tc>
      </w:tr>
    </w:tbl>
    <w:p/>
    <w:p>
      <w:r>
        <w:br w:type="page"/>
      </w:r>
    </w:p>
    <w:p>
      <w:pPr>
        <w:pStyle w:val="Heading1"/>
      </w:pPr>
      <w:r>
        <w:rPr>
          <w:b/>
          <w:color w:val="1F3564"/>
        </w:rPr>
        <w:t>7. Integration Details</w:t>
      </w:r>
    </w:p>
    <w:p>
      <w:pPr>
        <w:pStyle w:val="Heading2"/>
      </w:pPr>
      <w:r>
        <w:rPr>
          <w:b/>
          <w:color w:val="1F3564"/>
        </w:rPr>
        <w:t>7.1 EMR Integration — Port &amp; Adapter</w:t>
      </w:r>
    </w:p>
    <w:p>
      <w:pPr>
        <w:spacing w:after="120"/>
      </w:pPr>
      <w:r>
        <w:rPr>
          <w:b w:val="0"/>
          <w:i w:val="0"/>
          <w:color w:val="000000"/>
          <w:sz w:val="20"/>
        </w:rPr>
        <w:t>The IEMRGateway port is a Python abstract base class. Each adapter implements it independently and handles vendor-specific FHIR extensions, auth scopes, and marketplace registration without exposing those details to the platform core.</w:t>
      </w:r>
    </w:p>
    <w:p>
      <w:pPr>
        <w:spacing w:before="80" w:after="160"/>
        <w:ind w:left="432"/>
      </w:pPr>
      <w:r>
        <w:rPr>
          <w:rFonts w:ascii="Courier New" w:hAnsi="Courier New"/>
          <w:color w:val="1F3564"/>
          <w:sz w:val="17"/>
        </w:rPr>
        <w:t>class IEMRGateway:</w:t>
        <w:br/>
        <w:t xml:space="preserve">    def get_patient_reference(self, launch_token: str) -&gt; PatientReference: ...</w:t>
        <w:br/>
        <w:t xml:space="preserve">    def resolve_patient_from_token(self, token: DevicePatientToken, tenant_id: str) -&gt; PatientReference: ...</w:t>
        <w:br/>
        <w:t xml:space="preserve">    def write_observation(self, ref: PatientReference, obs: SignalObservation) -&gt; str: ...</w:t>
        <w:br/>
        <w:t xml:space="preserve">    def write_risk_score(self, ref: PatientReference, assessment: RiskAssessment) -&gt; str: ...</w:t>
        <w:br/>
        <w:t xml:space="preserve">    def write_soap_draft(self, ref: PatientReference, assessment: RiskAssessment) -&gt; str: ...</w:t>
        <w:br/>
        <w:t xml:space="preserve">    def write_escalation_alert(self, ref: PatientReference, esc: Escalation) -&gt; str: ...</w:t>
      </w:r>
    </w:p>
    <w:tbl>
      <w:tblPr>
        <w:tblStyle w:val="TableGrid"/>
        <w:tblW w:type="auto" w:w="0"/>
        <w:jc w:val="left"/>
        <w:tblLook w:firstColumn="1" w:firstRow="1" w:lastColumn="0" w:lastRow="0" w:noHBand="0" w:noVBand="1" w:val="04A0"/>
      </w:tblPr>
      <w:tblGrid>
        <w:gridCol w:w="2196"/>
        <w:gridCol w:w="2196"/>
        <w:gridCol w:w="2196"/>
        <w:gridCol w:w="2196"/>
      </w:tblGrid>
      <w:tr>
        <w:tc>
          <w:tcPr>
            <w:tcW w:type="dxa" w:w="2196"/>
            <w:shd w:val="clear" w:color="auto" w:fill="1F3564"/>
          </w:tcPr>
          <w:p>
            <w:r>
              <w:rPr>
                <w:b/>
                <w:color w:val="FFFFFF"/>
                <w:sz w:val="18"/>
              </w:rPr>
              <w:t>Adapter</w:t>
            </w:r>
          </w:p>
        </w:tc>
        <w:tc>
          <w:tcPr>
            <w:tcW w:type="dxa" w:w="2196"/>
            <w:shd w:val="clear" w:color="auto" w:fill="1F3564"/>
          </w:tcPr>
          <w:p>
            <w:r>
              <w:rPr>
                <w:b/>
                <w:color w:val="FFFFFF"/>
                <w:sz w:val="18"/>
              </w:rPr>
              <w:t>EMR</w:t>
            </w:r>
          </w:p>
        </w:tc>
        <w:tc>
          <w:tcPr>
            <w:tcW w:type="dxa" w:w="2196"/>
            <w:shd w:val="clear" w:color="auto" w:fill="1F3564"/>
          </w:tcPr>
          <w:p>
            <w:r>
              <w:rPr>
                <w:b/>
                <w:color w:val="FFFFFF"/>
                <w:sz w:val="18"/>
              </w:rPr>
              <w:t>Registration</w:t>
            </w:r>
          </w:p>
        </w:tc>
        <w:tc>
          <w:tcPr>
            <w:tcW w:type="dxa" w:w="2196"/>
            <w:shd w:val="clear" w:color="auto" w:fill="1F3564"/>
          </w:tcPr>
          <w:p>
            <w:r>
              <w:rPr>
                <w:b/>
                <w:color w:val="FFFFFF"/>
                <w:sz w:val="18"/>
              </w:rPr>
              <w:t>Vendor-Specific Handling</w:t>
            </w:r>
          </w:p>
        </w:tc>
      </w:tr>
      <w:tr>
        <w:tc>
          <w:tcPr>
            <w:tcW w:type="dxa" w:w="2196"/>
            <w:shd w:val="clear" w:color="auto" w:fill="FFFFFF"/>
          </w:tcPr>
          <w:p>
            <w:r>
              <w:rPr>
                <w:sz w:val="18"/>
              </w:rPr>
              <w:t>EpicAdapter</w:t>
            </w:r>
          </w:p>
        </w:tc>
        <w:tc>
          <w:tcPr>
            <w:tcW w:type="dxa" w:w="2196"/>
            <w:shd w:val="clear" w:color="auto" w:fill="FFFFFF"/>
          </w:tcPr>
          <w:p>
            <w:r>
              <w:rPr>
                <w:sz w:val="18"/>
              </w:rPr>
              <w:t>Epic Aura</w:t>
            </w:r>
          </w:p>
        </w:tc>
        <w:tc>
          <w:tcPr>
            <w:tcW w:type="dxa" w:w="2196"/>
            <w:shd w:val="clear" w:color="auto" w:fill="FFFFFF"/>
          </w:tcPr>
          <w:p>
            <w:r>
              <w:rPr>
                <w:sz w:val="18"/>
              </w:rPr>
              <w:t>Epic App Orchard</w:t>
            </w:r>
          </w:p>
        </w:tc>
        <w:tc>
          <w:tcPr>
            <w:tcW w:type="dxa" w:w="2196"/>
            <w:shd w:val="clear" w:color="auto" w:fill="FFFFFF"/>
          </w:tcPr>
          <w:p>
            <w:r>
              <w:rPr>
                <w:sz w:val="18"/>
              </w:rPr>
              <w:t>Epic FHIR extensions; In-Basket alerts; Epic EPI patient ID format</w:t>
            </w:r>
          </w:p>
        </w:tc>
      </w:tr>
      <w:tr>
        <w:tc>
          <w:tcPr>
            <w:tcW w:type="dxa" w:w="2196"/>
            <w:shd w:val="clear" w:color="auto" w:fill="EEF2FF"/>
          </w:tcPr>
          <w:p>
            <w:r>
              <w:rPr>
                <w:sz w:val="18"/>
              </w:rPr>
              <w:t>CernerAdapter</w:t>
            </w:r>
          </w:p>
        </w:tc>
        <w:tc>
          <w:tcPr>
            <w:tcW w:type="dxa" w:w="2196"/>
            <w:shd w:val="clear" w:color="auto" w:fill="EEF2FF"/>
          </w:tcPr>
          <w:p>
            <w:r>
              <w:rPr>
                <w:sz w:val="18"/>
              </w:rPr>
              <w:t>Oracle Cerner</w:t>
            </w:r>
          </w:p>
        </w:tc>
        <w:tc>
          <w:tcPr>
            <w:tcW w:type="dxa" w:w="2196"/>
            <w:shd w:val="clear" w:color="auto" w:fill="EEF2FF"/>
          </w:tcPr>
          <w:p>
            <w:r>
              <w:rPr>
                <w:sz w:val="18"/>
              </w:rPr>
              <w:t>Cerner App Gallery</w:t>
            </w:r>
          </w:p>
        </w:tc>
        <w:tc>
          <w:tcPr>
            <w:tcW w:type="dxa" w:w="2196"/>
            <w:shd w:val="clear" w:color="auto" w:fill="EEF2FF"/>
          </w:tcPr>
          <w:p>
            <w:r>
              <w:rPr>
                <w:sz w:val="18"/>
              </w:rPr>
              <w:t>Cerner FHIR extensions; Message Center; Cerner MPI patient ID format</w:t>
            </w:r>
          </w:p>
        </w:tc>
      </w:tr>
      <w:tr>
        <w:tc>
          <w:tcPr>
            <w:tcW w:type="dxa" w:w="2196"/>
            <w:shd w:val="clear" w:color="auto" w:fill="FFFFFF"/>
          </w:tcPr>
          <w:p>
            <w:r>
              <w:rPr>
                <w:sz w:val="18"/>
              </w:rPr>
              <w:t>GenericFHIRAdapter</w:t>
            </w:r>
          </w:p>
        </w:tc>
        <w:tc>
          <w:tcPr>
            <w:tcW w:type="dxa" w:w="2196"/>
            <w:shd w:val="clear" w:color="auto" w:fill="FFFFFF"/>
          </w:tcPr>
          <w:p>
            <w:r>
              <w:rPr>
                <w:sz w:val="18"/>
              </w:rPr>
              <w:t>Any FHIR R4 EMR</w:t>
            </w:r>
          </w:p>
        </w:tc>
        <w:tc>
          <w:tcPr>
            <w:tcW w:type="dxa" w:w="2196"/>
            <w:shd w:val="clear" w:color="auto" w:fill="FFFFFF"/>
          </w:tcPr>
          <w:p>
            <w:r>
              <w:rPr>
                <w:sz w:val="18"/>
              </w:rPr>
              <w:t>Per-vendor</w:t>
            </w:r>
          </w:p>
        </w:tc>
        <w:tc>
          <w:tcPr>
            <w:tcW w:type="dxa" w:w="2196"/>
            <w:shd w:val="clear" w:color="auto" w:fill="FFFFFF"/>
          </w:tcPr>
          <w:p>
            <w:r>
              <w:rPr>
                <w:sz w:val="18"/>
              </w:rPr>
              <w:t>Standard FHIR R4 only — Athena, Meditech, Allscripts, others</w:t>
            </w:r>
          </w:p>
        </w:tc>
      </w:tr>
    </w:tbl>
    <w:p/>
    <w:p>
      <w:pPr>
        <w:pStyle w:val="Heading2"/>
      </w:pPr>
      <w:r>
        <w:rPr>
          <w:b/>
          <w:color w:val="1F3564"/>
        </w:rPr>
        <w:t>7.2 Device-to-Patient Identity Binding</w:t>
      </w:r>
    </w:p>
    <w:tbl>
      <w:tblPr>
        <w:tblStyle w:val="TableGrid"/>
        <w:tblW w:type="auto" w:w="0"/>
        <w:jc w:val="left"/>
        <w:tblLook w:firstColumn="1" w:firstRow="1" w:lastColumn="0" w:lastRow="0" w:noHBand="0" w:noVBand="1" w:val="04A0"/>
      </w:tblPr>
      <w:tblGrid>
        <w:gridCol w:w="2928"/>
        <w:gridCol w:w="2928"/>
        <w:gridCol w:w="2928"/>
      </w:tblGrid>
      <w:tr>
        <w:tc>
          <w:tcPr>
            <w:tcW w:type="dxa" w:w="2928"/>
            <w:shd w:val="clear" w:color="auto" w:fill="1F3564"/>
          </w:tcPr>
          <w:p>
            <w:r>
              <w:rPr>
                <w:b/>
                <w:color w:val="FFFFFF"/>
                <w:sz w:val="18"/>
              </w:rPr>
              <w:t>Step</w:t>
            </w:r>
          </w:p>
        </w:tc>
        <w:tc>
          <w:tcPr>
            <w:tcW w:type="dxa" w:w="2928"/>
            <w:shd w:val="clear" w:color="auto" w:fill="1F3564"/>
          </w:tcPr>
          <w:p>
            <w:r>
              <w:rPr>
                <w:b/>
                <w:color w:val="FFFFFF"/>
                <w:sz w:val="18"/>
              </w:rPr>
              <w:t>Actor</w:t>
            </w:r>
          </w:p>
        </w:tc>
        <w:tc>
          <w:tcPr>
            <w:tcW w:type="dxa" w:w="2928"/>
            <w:shd w:val="clear" w:color="auto" w:fill="1F3564"/>
          </w:tcPr>
          <w:p>
            <w:r>
              <w:rPr>
                <w:b/>
                <w:color w:val="FFFFFF"/>
                <w:sz w:val="18"/>
              </w:rPr>
              <w:t>Action</w:t>
            </w:r>
          </w:p>
        </w:tc>
      </w:tr>
      <w:tr>
        <w:tc>
          <w:tcPr>
            <w:tcW w:type="dxa" w:w="2928"/>
            <w:shd w:val="clear" w:color="auto" w:fill="FFFFFF"/>
          </w:tcPr>
          <w:p>
            <w:r>
              <w:rPr>
                <w:sz w:val="18"/>
              </w:rPr>
              <w:t>1</w:t>
            </w:r>
          </w:p>
        </w:tc>
        <w:tc>
          <w:tcPr>
            <w:tcW w:type="dxa" w:w="2928"/>
            <w:shd w:val="clear" w:color="auto" w:fill="FFFFFF"/>
          </w:tcPr>
          <w:p>
            <w:r>
              <w:rPr>
                <w:sz w:val="18"/>
              </w:rPr>
              <w:t>Clinician</w:t>
            </w:r>
          </w:p>
        </w:tc>
        <w:tc>
          <w:tcPr>
            <w:tcW w:type="dxa" w:w="2928"/>
            <w:shd w:val="clear" w:color="auto" w:fill="FFFFFF"/>
          </w:tcPr>
          <w:p>
            <w:r>
              <w:rPr>
                <w:sz w:val="18"/>
              </w:rPr>
              <w:t>Opens platform via SMART on FHIR launch — PatientReference received in launch token</w:t>
            </w:r>
          </w:p>
        </w:tc>
      </w:tr>
      <w:tr>
        <w:tc>
          <w:tcPr>
            <w:tcW w:type="dxa" w:w="2928"/>
            <w:shd w:val="clear" w:color="auto" w:fill="EEF2FF"/>
          </w:tcPr>
          <w:p>
            <w:r>
              <w:rPr>
                <w:sz w:val="18"/>
              </w:rPr>
              <w:t>2</w:t>
            </w:r>
          </w:p>
        </w:tc>
        <w:tc>
          <w:tcPr>
            <w:tcW w:type="dxa" w:w="2928"/>
            <w:shd w:val="clear" w:color="auto" w:fill="EEF2FF"/>
          </w:tcPr>
          <w:p>
            <w:r>
              <w:rPr>
                <w:sz w:val="18"/>
              </w:rPr>
              <w:t>Platform</w:t>
            </w:r>
          </w:p>
        </w:tc>
        <w:tc>
          <w:tcPr>
            <w:tcW w:type="dxa" w:w="2928"/>
            <w:shd w:val="clear" w:color="auto" w:fill="EEF2FF"/>
          </w:tcPr>
          <w:p>
            <w:r>
              <w:rPr>
                <w:sz w:val="18"/>
              </w:rPr>
              <w:t>Creates DevicePatientBinding: serial → HMAC-SHA256(TenantID + FHIR PatientID)</w:t>
            </w:r>
          </w:p>
        </w:tc>
      </w:tr>
      <w:tr>
        <w:tc>
          <w:tcPr>
            <w:tcW w:type="dxa" w:w="2928"/>
            <w:shd w:val="clear" w:color="auto" w:fill="FFFFFF"/>
          </w:tcPr>
          <w:p>
            <w:r>
              <w:rPr>
                <w:sz w:val="18"/>
              </w:rPr>
              <w:t>3</w:t>
            </w:r>
          </w:p>
        </w:tc>
        <w:tc>
          <w:tcPr>
            <w:tcW w:type="dxa" w:w="2928"/>
            <w:shd w:val="clear" w:color="auto" w:fill="FFFFFF"/>
          </w:tcPr>
          <w:p>
            <w:r>
              <w:rPr>
                <w:sz w:val="18"/>
              </w:rPr>
              <w:t>Device</w:t>
            </w:r>
          </w:p>
        </w:tc>
        <w:tc>
          <w:tcPr>
            <w:tcW w:type="dxa" w:w="2928"/>
            <w:shd w:val="clear" w:color="auto" w:fill="FFFFFF"/>
          </w:tcPr>
          <w:p>
            <w:r>
              <w:rPr>
                <w:sz w:val="18"/>
              </w:rPr>
              <w:t>Transmits signal packet with serial number only — no patient data on device</w:t>
            </w:r>
          </w:p>
        </w:tc>
      </w:tr>
      <w:tr>
        <w:tc>
          <w:tcPr>
            <w:tcW w:type="dxa" w:w="2928"/>
            <w:shd w:val="clear" w:color="auto" w:fill="EEF2FF"/>
          </w:tcPr>
          <w:p>
            <w:r>
              <w:rPr>
                <w:sz w:val="18"/>
              </w:rPr>
              <w:t>4</w:t>
            </w:r>
          </w:p>
        </w:tc>
        <w:tc>
          <w:tcPr>
            <w:tcW w:type="dxa" w:w="2928"/>
            <w:shd w:val="clear" w:color="auto" w:fill="EEF2FF"/>
          </w:tcPr>
          <w:p>
            <w:r>
              <w:rPr>
                <w:sz w:val="18"/>
              </w:rPr>
              <w:t>Device Connectivity</w:t>
            </w:r>
          </w:p>
        </w:tc>
        <w:tc>
          <w:tcPr>
            <w:tcW w:type="dxa" w:w="2928"/>
            <w:shd w:val="clear" w:color="auto" w:fill="EEF2FF"/>
          </w:tcPr>
          <w:p>
            <w:r>
              <w:rPr>
                <w:sz w:val="18"/>
              </w:rPr>
              <w:t>Looks up DevicePatientBinding by serial → retrieves DevicePatientToken</w:t>
            </w:r>
          </w:p>
        </w:tc>
      </w:tr>
      <w:tr>
        <w:tc>
          <w:tcPr>
            <w:tcW w:type="dxa" w:w="2928"/>
            <w:shd w:val="clear" w:color="auto" w:fill="FFFFFF"/>
          </w:tcPr>
          <w:p>
            <w:r>
              <w:rPr>
                <w:sz w:val="18"/>
              </w:rPr>
              <w:t>5</w:t>
            </w:r>
          </w:p>
        </w:tc>
        <w:tc>
          <w:tcPr>
            <w:tcW w:type="dxa" w:w="2928"/>
            <w:shd w:val="clear" w:color="auto" w:fill="FFFFFF"/>
          </w:tcPr>
          <w:p>
            <w:r>
              <w:rPr>
                <w:sz w:val="18"/>
              </w:rPr>
              <w:t>IEMRGateway</w:t>
            </w:r>
          </w:p>
        </w:tc>
        <w:tc>
          <w:tcPr>
            <w:tcW w:type="dxa" w:w="2928"/>
            <w:shd w:val="clear" w:color="auto" w:fill="FFFFFF"/>
          </w:tcPr>
          <w:p>
            <w:r>
              <w:rPr>
                <w:sz w:val="18"/>
              </w:rPr>
              <w:t>Calls resolve_patient_from_token(token, tenant_id) → adapter decodes → FHIR Patient/{id}</w:t>
            </w:r>
          </w:p>
        </w:tc>
      </w:tr>
      <w:tr>
        <w:tc>
          <w:tcPr>
            <w:tcW w:type="dxa" w:w="2928"/>
            <w:shd w:val="clear" w:color="auto" w:fill="EEF2FF"/>
          </w:tcPr>
          <w:p>
            <w:r>
              <w:rPr>
                <w:sz w:val="18"/>
              </w:rPr>
              <w:t>6</w:t>
            </w:r>
          </w:p>
        </w:tc>
        <w:tc>
          <w:tcPr>
            <w:tcW w:type="dxa" w:w="2928"/>
            <w:shd w:val="clear" w:color="auto" w:fill="EEF2FF"/>
          </w:tcPr>
          <w:p>
            <w:r>
              <w:rPr>
                <w:sz w:val="18"/>
              </w:rPr>
              <w:t>Platform</w:t>
            </w:r>
          </w:p>
        </w:tc>
        <w:tc>
          <w:tcPr>
            <w:tcW w:type="dxa" w:w="2928"/>
            <w:shd w:val="clear" w:color="auto" w:fill="EEF2FF"/>
          </w:tcPr>
          <w:p>
            <w:r>
              <w:rPr>
                <w:sz w:val="18"/>
              </w:rPr>
              <w:t>Uses PatientReference for pipeline — never persists it to database</w:t>
            </w:r>
          </w:p>
        </w:tc>
      </w:tr>
    </w:tbl>
    <w:p/>
    <w:p>
      <w:pPr>
        <w:pStyle w:val="Heading2"/>
      </w:pPr>
      <w:r>
        <w:rPr>
          <w:b/>
          <w:color w:val="1F3564"/>
        </w:rPr>
        <w:t>7.3 FHIR Write-Back Resources</w:t>
      </w:r>
    </w:p>
    <w:tbl>
      <w:tblPr>
        <w:tblStyle w:val="TableGrid"/>
        <w:tblW w:type="auto" w:w="0"/>
        <w:jc w:val="left"/>
        <w:tblLook w:firstColumn="1" w:firstRow="1" w:lastColumn="0" w:lastRow="0" w:noHBand="0" w:noVBand="1" w:val="04A0"/>
      </w:tblPr>
      <w:tblGrid>
        <w:gridCol w:w="2928"/>
        <w:gridCol w:w="2928"/>
        <w:gridCol w:w="2928"/>
      </w:tblGrid>
      <w:tr>
        <w:tc>
          <w:tcPr>
            <w:tcW w:type="dxa" w:w="2928"/>
            <w:shd w:val="clear" w:color="auto" w:fill="1F3564"/>
          </w:tcPr>
          <w:p>
            <w:r>
              <w:rPr>
                <w:b/>
                <w:color w:val="FFFFFF"/>
                <w:sz w:val="18"/>
              </w:rPr>
              <w:t>Platform Output</w:t>
            </w:r>
          </w:p>
        </w:tc>
        <w:tc>
          <w:tcPr>
            <w:tcW w:type="dxa" w:w="2928"/>
            <w:shd w:val="clear" w:color="auto" w:fill="1F3564"/>
          </w:tcPr>
          <w:p>
            <w:r>
              <w:rPr>
                <w:b/>
                <w:color w:val="FFFFFF"/>
                <w:sz w:val="18"/>
              </w:rPr>
              <w:t>FHIR Resource</w:t>
            </w:r>
          </w:p>
        </w:tc>
        <w:tc>
          <w:tcPr>
            <w:tcW w:type="dxa" w:w="2928"/>
            <w:shd w:val="clear" w:color="auto" w:fill="1F3564"/>
          </w:tcPr>
          <w:p>
            <w:r>
              <w:rPr>
                <w:b/>
                <w:color w:val="FFFFFF"/>
                <w:sz w:val="18"/>
              </w:rPr>
              <w:t>Gen Available</w:t>
            </w:r>
          </w:p>
        </w:tc>
      </w:tr>
      <w:tr>
        <w:tc>
          <w:tcPr>
            <w:tcW w:type="dxa" w:w="2928"/>
            <w:shd w:val="clear" w:color="auto" w:fill="FFFFFF"/>
          </w:tcPr>
          <w:p>
            <w:r>
              <w:rPr>
                <w:sz w:val="18"/>
              </w:rPr>
              <w:t>Signal observation</w:t>
            </w:r>
          </w:p>
        </w:tc>
        <w:tc>
          <w:tcPr>
            <w:tcW w:type="dxa" w:w="2928"/>
            <w:shd w:val="clear" w:color="auto" w:fill="FFFFFF"/>
          </w:tcPr>
          <w:p>
            <w:r>
              <w:rPr>
                <w:sz w:val="18"/>
              </w:rPr>
              <w:t>Observation (LOINC-coded per signal type)</w:t>
            </w:r>
          </w:p>
        </w:tc>
        <w:tc>
          <w:tcPr>
            <w:tcW w:type="dxa" w:w="2928"/>
            <w:shd w:val="clear" w:color="auto" w:fill="FFFFFF"/>
          </w:tcPr>
          <w:p>
            <w:r>
              <w:rPr>
                <w:sz w:val="18"/>
              </w:rPr>
              <w:t>Gen 1</w:t>
            </w:r>
          </w:p>
        </w:tc>
      </w:tr>
      <w:tr>
        <w:tc>
          <w:tcPr>
            <w:tcW w:type="dxa" w:w="2928"/>
            <w:shd w:val="clear" w:color="auto" w:fill="EEF2FF"/>
          </w:tcPr>
          <w:p>
            <w:r>
              <w:rPr>
                <w:sz w:val="18"/>
              </w:rPr>
              <w:t>Risk score</w:t>
            </w:r>
          </w:p>
        </w:tc>
        <w:tc>
          <w:tcPr>
            <w:tcW w:type="dxa" w:w="2928"/>
            <w:shd w:val="clear" w:color="auto" w:fill="EEF2FF"/>
          </w:tcPr>
          <w:p>
            <w:r>
              <w:rPr>
                <w:sz w:val="18"/>
              </w:rPr>
              <w:t>Observation (value + tier)</w:t>
            </w:r>
          </w:p>
        </w:tc>
        <w:tc>
          <w:tcPr>
            <w:tcW w:type="dxa" w:w="2928"/>
            <w:shd w:val="clear" w:color="auto" w:fill="EEF2FF"/>
          </w:tcPr>
          <w:p>
            <w:r>
              <w:rPr>
                <w:sz w:val="18"/>
              </w:rPr>
              <w:t>Gen 2</w:t>
            </w:r>
          </w:p>
        </w:tc>
      </w:tr>
      <w:tr>
        <w:tc>
          <w:tcPr>
            <w:tcW w:type="dxa" w:w="2928"/>
            <w:shd w:val="clear" w:color="auto" w:fill="FFFFFF"/>
          </w:tcPr>
          <w:p>
            <w:r>
              <w:rPr>
                <w:sz w:val="18"/>
              </w:rPr>
              <w:t>LLM clinical summary</w:t>
            </w:r>
          </w:p>
        </w:tc>
        <w:tc>
          <w:tcPr>
            <w:tcW w:type="dxa" w:w="2928"/>
            <w:shd w:val="clear" w:color="auto" w:fill="FFFFFF"/>
          </w:tcPr>
          <w:p>
            <w:r>
              <w:rPr>
                <w:sz w:val="18"/>
              </w:rPr>
              <w:t>DocumentReference (narrative)</w:t>
            </w:r>
          </w:p>
        </w:tc>
        <w:tc>
          <w:tcPr>
            <w:tcW w:type="dxa" w:w="2928"/>
            <w:shd w:val="clear" w:color="auto" w:fill="FFFFFF"/>
          </w:tcPr>
          <w:p>
            <w:r>
              <w:rPr>
                <w:sz w:val="18"/>
              </w:rPr>
              <w:t>Gen 2</w:t>
            </w:r>
          </w:p>
        </w:tc>
      </w:tr>
      <w:tr>
        <w:tc>
          <w:tcPr>
            <w:tcW w:type="dxa" w:w="2928"/>
            <w:shd w:val="clear" w:color="auto" w:fill="EEF2FF"/>
          </w:tcPr>
          <w:p>
            <w:r>
              <w:rPr>
                <w:sz w:val="18"/>
              </w:rPr>
              <w:t>SOAP draft note</w:t>
            </w:r>
          </w:p>
        </w:tc>
        <w:tc>
          <w:tcPr>
            <w:tcW w:type="dxa" w:w="2928"/>
            <w:shd w:val="clear" w:color="auto" w:fill="EEF2FF"/>
          </w:tcPr>
          <w:p>
            <w:r>
              <w:rPr>
                <w:sz w:val="18"/>
              </w:rPr>
              <w:t>DocumentReference (SOAP structured)</w:t>
            </w:r>
          </w:p>
        </w:tc>
        <w:tc>
          <w:tcPr>
            <w:tcW w:type="dxa" w:w="2928"/>
            <w:shd w:val="clear" w:color="auto" w:fill="EEF2FF"/>
          </w:tcPr>
          <w:p>
            <w:r>
              <w:rPr>
                <w:sz w:val="18"/>
              </w:rPr>
              <w:t>Gen 2</w:t>
            </w:r>
          </w:p>
        </w:tc>
      </w:tr>
      <w:tr>
        <w:tc>
          <w:tcPr>
            <w:tcW w:type="dxa" w:w="2928"/>
            <w:shd w:val="clear" w:color="auto" w:fill="FFFFFF"/>
          </w:tcPr>
          <w:p>
            <w:r>
              <w:rPr>
                <w:sz w:val="18"/>
              </w:rPr>
              <w:t>Escalation alert</w:t>
            </w:r>
          </w:p>
        </w:tc>
        <w:tc>
          <w:tcPr>
            <w:tcW w:type="dxa" w:w="2928"/>
            <w:shd w:val="clear" w:color="auto" w:fill="FFFFFF"/>
          </w:tcPr>
          <w:p>
            <w:r>
              <w:rPr>
                <w:sz w:val="18"/>
              </w:rPr>
              <w:t>Communication (to care team)</w:t>
            </w:r>
          </w:p>
        </w:tc>
        <w:tc>
          <w:tcPr>
            <w:tcW w:type="dxa" w:w="2928"/>
            <w:shd w:val="clear" w:color="auto" w:fill="FFFFFF"/>
          </w:tcPr>
          <w:p>
            <w:r>
              <w:rPr>
                <w:sz w:val="18"/>
              </w:rPr>
              <w:t>Gen 2</w:t>
            </w:r>
          </w:p>
        </w:tc>
      </w:tr>
    </w:tbl>
    <w:p/>
    <w:p>
      <w:pPr>
        <w:pStyle w:val="Heading2"/>
      </w:pPr>
      <w:r>
        <w:rPr>
          <w:b/>
          <w:color w:val="1F3564"/>
        </w:rPr>
        <w:t>7.4 Generic vs. Vendor-Specific</w:t>
      </w:r>
    </w:p>
    <w:tbl>
      <w:tblPr>
        <w:tblStyle w:val="TableGrid"/>
        <w:tblW w:type="auto" w:w="0"/>
        <w:jc w:val="left"/>
        <w:tblLook w:firstColumn="1" w:firstRow="1" w:lastColumn="0" w:lastRow="0" w:noHBand="0" w:noVBand="1" w:val="04A0"/>
      </w:tblPr>
      <w:tblGrid>
        <w:gridCol w:w="2928"/>
        <w:gridCol w:w="2928"/>
        <w:gridCol w:w="2928"/>
      </w:tblGrid>
      <w:tr>
        <w:tc>
          <w:tcPr>
            <w:tcW w:type="dxa" w:w="2928"/>
            <w:shd w:val="clear" w:color="auto" w:fill="1F3564"/>
          </w:tcPr>
          <w:p>
            <w:r>
              <w:rPr>
                <w:b/>
                <w:color w:val="FFFFFF"/>
                <w:sz w:val="18"/>
              </w:rPr>
              <w:t>Concern</w:t>
            </w:r>
          </w:p>
        </w:tc>
        <w:tc>
          <w:tcPr>
            <w:tcW w:type="dxa" w:w="2928"/>
            <w:shd w:val="clear" w:color="auto" w:fill="1F3564"/>
          </w:tcPr>
          <w:p>
            <w:r>
              <w:rPr>
                <w:b/>
                <w:color w:val="FFFFFF"/>
                <w:sz w:val="18"/>
              </w:rPr>
              <w:t>Generic (all adapters)</w:t>
            </w:r>
          </w:p>
        </w:tc>
        <w:tc>
          <w:tcPr>
            <w:tcW w:type="dxa" w:w="2928"/>
            <w:shd w:val="clear" w:color="auto" w:fill="1F3564"/>
          </w:tcPr>
          <w:p>
            <w:r>
              <w:rPr>
                <w:b/>
                <w:color w:val="FFFFFF"/>
                <w:sz w:val="18"/>
              </w:rPr>
              <w:t>Vendor-Specific (each adapter handles)</w:t>
            </w:r>
          </w:p>
        </w:tc>
      </w:tr>
      <w:tr>
        <w:tc>
          <w:tcPr>
            <w:tcW w:type="dxa" w:w="2928"/>
            <w:shd w:val="clear" w:color="auto" w:fill="FFFFFF"/>
          </w:tcPr>
          <w:p>
            <w:r>
              <w:rPr>
                <w:sz w:val="18"/>
              </w:rPr>
              <w:t>Auth</w:t>
            </w:r>
          </w:p>
        </w:tc>
        <w:tc>
          <w:tcPr>
            <w:tcW w:type="dxa" w:w="2928"/>
            <w:shd w:val="clear" w:color="auto" w:fill="FFFFFF"/>
          </w:tcPr>
          <w:p>
            <w:r>
              <w:rPr>
                <w:sz w:val="18"/>
              </w:rPr>
              <w:t>SMART on FHIR OAuth2 launch</w:t>
            </w:r>
          </w:p>
        </w:tc>
        <w:tc>
          <w:tcPr>
            <w:tcW w:type="dxa" w:w="2928"/>
            <w:shd w:val="clear" w:color="auto" w:fill="FFFFFF"/>
          </w:tcPr>
          <w:p>
            <w:r>
              <w:rPr>
                <w:sz w:val="18"/>
              </w:rPr>
              <w:t>App marketplace registration (App Orchard, Cerner Gallery)</w:t>
            </w:r>
          </w:p>
        </w:tc>
      </w:tr>
      <w:tr>
        <w:tc>
          <w:tcPr>
            <w:tcW w:type="dxa" w:w="2928"/>
            <w:shd w:val="clear" w:color="auto" w:fill="EEF2FF"/>
          </w:tcPr>
          <w:p>
            <w:r>
              <w:rPr>
                <w:sz w:val="18"/>
              </w:rPr>
              <w:t>Patient identity</w:t>
            </w:r>
          </w:p>
        </w:tc>
        <w:tc>
          <w:tcPr>
            <w:tcW w:type="dxa" w:w="2928"/>
            <w:shd w:val="clear" w:color="auto" w:fill="EEF2FF"/>
          </w:tcPr>
          <w:p>
            <w:r>
              <w:rPr>
                <w:sz w:val="18"/>
              </w:rPr>
              <w:t>FHIR Patient resource ID</w:t>
            </w:r>
          </w:p>
        </w:tc>
        <w:tc>
          <w:tcPr>
            <w:tcW w:type="dxa" w:w="2928"/>
            <w:shd w:val="clear" w:color="auto" w:fill="EEF2FF"/>
          </w:tcPr>
          <w:p>
            <w:r>
              <w:rPr>
                <w:sz w:val="18"/>
              </w:rPr>
              <w:t>Custom MRN formats; Epic EPI vs Cerner MPI</w:t>
            </w:r>
          </w:p>
        </w:tc>
      </w:tr>
      <w:tr>
        <w:tc>
          <w:tcPr>
            <w:tcW w:type="dxa" w:w="2928"/>
            <w:shd w:val="clear" w:color="auto" w:fill="FFFFFF"/>
          </w:tcPr>
          <w:p>
            <w:r>
              <w:rPr>
                <w:sz w:val="18"/>
              </w:rPr>
              <w:t>Signal write-back</w:t>
            </w:r>
          </w:p>
        </w:tc>
        <w:tc>
          <w:tcPr>
            <w:tcW w:type="dxa" w:w="2928"/>
            <w:shd w:val="clear" w:color="auto" w:fill="FFFFFF"/>
          </w:tcPr>
          <w:p>
            <w:r>
              <w:rPr>
                <w:sz w:val="18"/>
              </w:rPr>
              <w:t>FHIR R4 Observation</w:t>
            </w:r>
          </w:p>
        </w:tc>
        <w:tc>
          <w:tcPr>
            <w:tcW w:type="dxa" w:w="2928"/>
            <w:shd w:val="clear" w:color="auto" w:fill="FFFFFF"/>
          </w:tcPr>
          <w:p>
            <w:r>
              <w:rPr>
                <w:sz w:val="18"/>
              </w:rPr>
              <w:t>Custom LOINC mappings per EMR</w:t>
            </w:r>
          </w:p>
        </w:tc>
      </w:tr>
      <w:tr>
        <w:tc>
          <w:tcPr>
            <w:tcW w:type="dxa" w:w="2928"/>
            <w:shd w:val="clear" w:color="auto" w:fill="EEF2FF"/>
          </w:tcPr>
          <w:p>
            <w:r>
              <w:rPr>
                <w:sz w:val="18"/>
              </w:rPr>
              <w:t>SOAP draft</w:t>
            </w:r>
          </w:p>
        </w:tc>
        <w:tc>
          <w:tcPr>
            <w:tcW w:type="dxa" w:w="2928"/>
            <w:shd w:val="clear" w:color="auto" w:fill="EEF2FF"/>
          </w:tcPr>
          <w:p>
            <w:r>
              <w:rPr>
                <w:sz w:val="18"/>
              </w:rPr>
              <w:t>FHIR R4 DocumentReference</w:t>
            </w:r>
          </w:p>
        </w:tc>
        <w:tc>
          <w:tcPr>
            <w:tcW w:type="dxa" w:w="2928"/>
            <w:shd w:val="clear" w:color="auto" w:fill="EEF2FF"/>
          </w:tcPr>
          <w:p>
            <w:r>
              <w:rPr>
                <w:sz w:val="18"/>
              </w:rPr>
              <w:t>Epic note type codes</w:t>
            </w:r>
          </w:p>
        </w:tc>
      </w:tr>
      <w:tr>
        <w:tc>
          <w:tcPr>
            <w:tcW w:type="dxa" w:w="2928"/>
            <w:shd w:val="clear" w:color="auto" w:fill="FFFFFF"/>
          </w:tcPr>
          <w:p>
            <w:r>
              <w:rPr>
                <w:sz w:val="18"/>
              </w:rPr>
              <w:t>Escalation</w:t>
            </w:r>
          </w:p>
        </w:tc>
        <w:tc>
          <w:tcPr>
            <w:tcW w:type="dxa" w:w="2928"/>
            <w:shd w:val="clear" w:color="auto" w:fill="FFFFFF"/>
          </w:tcPr>
          <w:p>
            <w:r>
              <w:rPr>
                <w:sz w:val="18"/>
              </w:rPr>
              <w:t>FHIR R4 Communication</w:t>
            </w:r>
          </w:p>
        </w:tc>
        <w:tc>
          <w:tcPr>
            <w:tcW w:type="dxa" w:w="2928"/>
            <w:shd w:val="clear" w:color="auto" w:fill="FFFFFF"/>
          </w:tcPr>
          <w:p>
            <w:r>
              <w:rPr>
                <w:sz w:val="18"/>
              </w:rPr>
              <w:t>Epic In-Basket vs Cerner Message Center</w:t>
            </w:r>
          </w:p>
        </w:tc>
      </w:tr>
    </w:tbl>
    <w:p/>
    <w:p>
      <w:r>
        <w:br w:type="page"/>
      </w:r>
    </w:p>
    <w:p>
      <w:pPr>
        <w:pStyle w:val="Heading1"/>
      </w:pPr>
      <w:r>
        <w:rPr>
          <w:b/>
          <w:color w:val="1F3564"/>
        </w:rPr>
        <w:t>8. Domain-Driven Design</w:t>
      </w:r>
    </w:p>
    <w:p>
      <w:pPr>
        <w:pStyle w:val="Heading2"/>
      </w:pPr>
      <w:r>
        <w:rPr>
          <w:b/>
          <w:color w:val="1F3564"/>
        </w:rPr>
        <w:t>8.1 Aggregates</w:t>
      </w:r>
    </w:p>
    <w:p>
      <w:pPr>
        <w:pStyle w:val="Heading3"/>
      </w:pPr>
      <w:r>
        <w:rPr>
          <w:b/>
          <w:color w:val="1F3564"/>
        </w:rPr>
        <w:t>SignalObservation — Signal Processing</w:t>
      </w:r>
    </w:p>
    <w:tbl>
      <w:tblPr>
        <w:tblStyle w:val="TableGrid"/>
        <w:tblW w:type="auto" w:w="0"/>
        <w:jc w:val="left"/>
        <w:tblLook w:firstColumn="1" w:firstRow="1" w:lastColumn="0" w:lastRow="0" w:noHBand="0" w:noVBand="1" w:val="04A0"/>
      </w:tblPr>
      <w:tblGrid>
        <w:gridCol w:w="2928"/>
        <w:gridCol w:w="2928"/>
        <w:gridCol w:w="2928"/>
      </w:tblGrid>
      <w:tr>
        <w:tc>
          <w:tcPr>
            <w:tcW w:type="dxa" w:w="2928"/>
            <w:shd w:val="clear" w:color="auto" w:fill="1F3564"/>
          </w:tcPr>
          <w:p>
            <w:r>
              <w:rPr>
                <w:b/>
                <w:color w:val="FFFFFF"/>
                <w:sz w:val="18"/>
              </w:rPr>
              <w:t>Field</w:t>
            </w:r>
          </w:p>
        </w:tc>
        <w:tc>
          <w:tcPr>
            <w:tcW w:type="dxa" w:w="2928"/>
            <w:shd w:val="clear" w:color="auto" w:fill="1F3564"/>
          </w:tcPr>
          <w:p>
            <w:r>
              <w:rPr>
                <w:b/>
                <w:color w:val="FFFFFF"/>
                <w:sz w:val="18"/>
              </w:rPr>
              <w:t>Type</w:t>
            </w:r>
          </w:p>
        </w:tc>
        <w:tc>
          <w:tcPr>
            <w:tcW w:type="dxa" w:w="2928"/>
            <w:shd w:val="clear" w:color="auto" w:fill="1F3564"/>
          </w:tcPr>
          <w:p>
            <w:r>
              <w:rPr>
                <w:b/>
                <w:color w:val="FFFFFF"/>
                <w:sz w:val="18"/>
              </w:rPr>
              <w:t>Notes</w:t>
            </w:r>
          </w:p>
        </w:tc>
      </w:tr>
      <w:tr>
        <w:tc>
          <w:tcPr>
            <w:tcW w:type="dxa" w:w="2928"/>
            <w:shd w:val="clear" w:color="auto" w:fill="FFFFFF"/>
          </w:tcPr>
          <w:p>
            <w:r>
              <w:rPr>
                <w:sz w:val="18"/>
              </w:rPr>
              <w:t>id</w:t>
            </w:r>
          </w:p>
        </w:tc>
        <w:tc>
          <w:tcPr>
            <w:tcW w:type="dxa" w:w="2928"/>
            <w:shd w:val="clear" w:color="auto" w:fill="FFFFFF"/>
          </w:tcPr>
          <w:p>
            <w:r>
              <w:rPr>
                <w:sz w:val="18"/>
              </w:rPr>
              <w:t>ObservationId</w:t>
            </w:r>
          </w:p>
        </w:tc>
        <w:tc>
          <w:tcPr>
            <w:tcW w:type="dxa" w:w="2928"/>
            <w:shd w:val="clear" w:color="auto" w:fill="FFFFFF"/>
          </w:tcPr>
          <w:p>
            <w:r>
              <w:rPr>
                <w:sz w:val="18"/>
              </w:rPr>
              <w:t>Unique observation identifier</w:t>
            </w:r>
          </w:p>
        </w:tc>
      </w:tr>
      <w:tr>
        <w:tc>
          <w:tcPr>
            <w:tcW w:type="dxa" w:w="2928"/>
            <w:shd w:val="clear" w:color="auto" w:fill="EEF2FF"/>
          </w:tcPr>
          <w:p>
            <w:r>
              <w:rPr>
                <w:sz w:val="18"/>
              </w:rPr>
              <w:t>patientId</w:t>
            </w:r>
          </w:p>
        </w:tc>
        <w:tc>
          <w:tcPr>
            <w:tcW w:type="dxa" w:w="2928"/>
            <w:shd w:val="clear" w:color="auto" w:fill="EEF2FF"/>
          </w:tcPr>
          <w:p>
            <w:r>
              <w:rPr>
                <w:sz w:val="18"/>
              </w:rPr>
              <w:t>PatientId</w:t>
            </w:r>
          </w:p>
        </w:tc>
        <w:tc>
          <w:tcPr>
            <w:tcW w:type="dxa" w:w="2928"/>
            <w:shd w:val="clear" w:color="auto" w:fill="EEF2FF"/>
          </w:tcPr>
          <w:p>
            <w:r>
              <w:rPr>
                <w:sz w:val="18"/>
              </w:rPr>
              <w:t>Opaque reference — FHIR Patient ID from session</w:t>
            </w:r>
          </w:p>
        </w:tc>
      </w:tr>
      <w:tr>
        <w:tc>
          <w:tcPr>
            <w:tcW w:type="dxa" w:w="2928"/>
            <w:shd w:val="clear" w:color="auto" w:fill="FFFFFF"/>
          </w:tcPr>
          <w:p>
            <w:r>
              <w:rPr>
                <w:sz w:val="18"/>
              </w:rPr>
              <w:t>capturedAt</w:t>
            </w:r>
          </w:p>
        </w:tc>
        <w:tc>
          <w:tcPr>
            <w:tcW w:type="dxa" w:w="2928"/>
            <w:shd w:val="clear" w:color="auto" w:fill="FFFFFF"/>
          </w:tcPr>
          <w:p>
            <w:r>
              <w:rPr>
                <w:sz w:val="18"/>
              </w:rPr>
              <w:t>Timestamp</w:t>
            </w:r>
          </w:p>
        </w:tc>
        <w:tc>
          <w:tcPr>
            <w:tcW w:type="dxa" w:w="2928"/>
            <w:shd w:val="clear" w:color="auto" w:fill="FFFFFF"/>
          </w:tcPr>
          <w:p>
            <w:r>
              <w:rPr>
                <w:sz w:val="18"/>
              </w:rPr>
              <w:t>Must not be in the future</w:t>
            </w:r>
          </w:p>
        </w:tc>
      </w:tr>
      <w:tr>
        <w:tc>
          <w:tcPr>
            <w:tcW w:type="dxa" w:w="2928"/>
            <w:shd w:val="clear" w:color="auto" w:fill="EEF2FF"/>
          </w:tcPr>
          <w:p>
            <w:r>
              <w:rPr>
                <w:sz w:val="18"/>
              </w:rPr>
              <w:t>signals</w:t>
            </w:r>
          </w:p>
        </w:tc>
        <w:tc>
          <w:tcPr>
            <w:tcW w:type="dxa" w:w="2928"/>
            <w:shd w:val="clear" w:color="auto" w:fill="EEF2FF"/>
          </w:tcPr>
          <w:p>
            <w:r>
              <w:rPr>
                <w:sz w:val="18"/>
              </w:rPr>
              <w:t>RawSignals</w:t>
            </w:r>
          </w:p>
        </w:tc>
        <w:tc>
          <w:tcPr>
            <w:tcW w:type="dxa" w:w="2928"/>
            <w:shd w:val="clear" w:color="auto" w:fill="EEF2FF"/>
          </w:tcPr>
          <w:p>
            <w:r>
              <w:rPr>
                <w:sz w:val="18"/>
              </w:rPr>
              <w:t>All 6 fields required; missing field → observation rejected</w:t>
            </w:r>
          </w:p>
        </w:tc>
      </w:tr>
      <w:tr>
        <w:tc>
          <w:tcPr>
            <w:tcW w:type="dxa" w:w="2928"/>
            <w:shd w:val="clear" w:color="auto" w:fill="FFFFFF"/>
          </w:tcPr>
          <w:p>
            <w:r>
              <w:rPr>
                <w:sz w:val="18"/>
              </w:rPr>
              <w:t>derived</w:t>
            </w:r>
          </w:p>
        </w:tc>
        <w:tc>
          <w:tcPr>
            <w:tcW w:type="dxa" w:w="2928"/>
            <w:shd w:val="clear" w:color="auto" w:fill="FFFFFF"/>
          </w:tcPr>
          <w:p>
            <w:r>
              <w:rPr>
                <w:sz w:val="18"/>
              </w:rPr>
              <w:t>DerivedMetrics</w:t>
            </w:r>
          </w:p>
        </w:tc>
        <w:tc>
          <w:tcPr>
            <w:tcW w:type="dxa" w:w="2928"/>
            <w:shd w:val="clear" w:color="auto" w:fill="FFFFFF"/>
          </w:tcPr>
          <w:p>
            <w:r>
              <w:rPr>
                <w:sz w:val="18"/>
              </w:rPr>
              <w:t>Populated only when quality ≥ 0.6</w:t>
            </w:r>
          </w:p>
        </w:tc>
      </w:tr>
      <w:tr>
        <w:tc>
          <w:tcPr>
            <w:tcW w:type="dxa" w:w="2928"/>
            <w:shd w:val="clear" w:color="auto" w:fill="EEF2FF"/>
          </w:tcPr>
          <w:p>
            <w:r>
              <w:rPr>
                <w:sz w:val="18"/>
              </w:rPr>
              <w:t>quality</w:t>
            </w:r>
          </w:p>
        </w:tc>
        <w:tc>
          <w:tcPr>
            <w:tcW w:type="dxa" w:w="2928"/>
            <w:shd w:val="clear" w:color="auto" w:fill="EEF2FF"/>
          </w:tcPr>
          <w:p>
            <w:r>
              <w:rPr>
                <w:sz w:val="18"/>
              </w:rPr>
              <w:t>float 0–1</w:t>
            </w:r>
          </w:p>
        </w:tc>
        <w:tc>
          <w:tcPr>
            <w:tcW w:type="dxa" w:w="2928"/>
            <w:shd w:val="clear" w:color="auto" w:fill="EEF2FF"/>
          </w:tcPr>
          <w:p>
            <w:r>
              <w:rPr>
                <w:sz w:val="18"/>
              </w:rPr>
              <w:t>Signal integrity: noise, electrode contact, motion artifact</w:t>
            </w:r>
          </w:p>
        </w:tc>
      </w:tr>
    </w:tbl>
    <w:p/>
    <w:p>
      <w:pPr>
        <w:pStyle w:val="Heading3"/>
      </w:pPr>
      <w:r>
        <w:rPr>
          <w:b/>
          <w:color w:val="1F3564"/>
        </w:rPr>
        <w:t>RiskAssessment — Clinical Decision Support</w:t>
      </w:r>
    </w:p>
    <w:tbl>
      <w:tblPr>
        <w:tblStyle w:val="TableGrid"/>
        <w:tblW w:type="auto" w:w="0"/>
        <w:jc w:val="left"/>
        <w:tblLook w:firstColumn="1" w:firstRow="1" w:lastColumn="0" w:lastRow="0" w:noHBand="0" w:noVBand="1" w:val="04A0"/>
      </w:tblPr>
      <w:tblGrid>
        <w:gridCol w:w="2928"/>
        <w:gridCol w:w="2928"/>
        <w:gridCol w:w="2928"/>
      </w:tblGrid>
      <w:tr>
        <w:tc>
          <w:tcPr>
            <w:tcW w:type="dxa" w:w="2928"/>
            <w:shd w:val="clear" w:color="auto" w:fill="1F3564"/>
          </w:tcPr>
          <w:p>
            <w:r>
              <w:rPr>
                <w:b/>
                <w:color w:val="FFFFFF"/>
                <w:sz w:val="18"/>
              </w:rPr>
              <w:t>Field</w:t>
            </w:r>
          </w:p>
        </w:tc>
        <w:tc>
          <w:tcPr>
            <w:tcW w:type="dxa" w:w="2928"/>
            <w:shd w:val="clear" w:color="auto" w:fill="1F3564"/>
          </w:tcPr>
          <w:p>
            <w:r>
              <w:rPr>
                <w:b/>
                <w:color w:val="FFFFFF"/>
                <w:sz w:val="18"/>
              </w:rPr>
              <w:t>Type</w:t>
            </w:r>
          </w:p>
        </w:tc>
        <w:tc>
          <w:tcPr>
            <w:tcW w:type="dxa" w:w="2928"/>
            <w:shd w:val="clear" w:color="auto" w:fill="1F3564"/>
          </w:tcPr>
          <w:p>
            <w:r>
              <w:rPr>
                <w:b/>
                <w:color w:val="FFFFFF"/>
                <w:sz w:val="18"/>
              </w:rPr>
              <w:t>Notes</w:t>
            </w:r>
          </w:p>
        </w:tc>
      </w:tr>
      <w:tr>
        <w:tc>
          <w:tcPr>
            <w:tcW w:type="dxa" w:w="2928"/>
            <w:shd w:val="clear" w:color="auto" w:fill="FFFFFF"/>
          </w:tcPr>
          <w:p>
            <w:r>
              <w:rPr>
                <w:sz w:val="18"/>
              </w:rPr>
              <w:t>id</w:t>
            </w:r>
          </w:p>
        </w:tc>
        <w:tc>
          <w:tcPr>
            <w:tcW w:type="dxa" w:w="2928"/>
            <w:shd w:val="clear" w:color="auto" w:fill="FFFFFF"/>
          </w:tcPr>
          <w:p>
            <w:r>
              <w:rPr>
                <w:sz w:val="18"/>
              </w:rPr>
              <w:t>AssessmentId</w:t>
            </w:r>
          </w:p>
        </w:tc>
        <w:tc>
          <w:tcPr>
            <w:tcW w:type="dxa" w:w="2928"/>
            <w:shd w:val="clear" w:color="auto" w:fill="FFFFFF"/>
          </w:tcPr>
          <w:p>
            <w:r>
              <w:rPr>
                <w:sz w:val="18"/>
              </w:rPr>
            </w:r>
          </w:p>
        </w:tc>
      </w:tr>
      <w:tr>
        <w:tc>
          <w:tcPr>
            <w:tcW w:type="dxa" w:w="2928"/>
            <w:shd w:val="clear" w:color="auto" w:fill="EEF2FF"/>
          </w:tcPr>
          <w:p>
            <w:r>
              <w:rPr>
                <w:sz w:val="18"/>
              </w:rPr>
              <w:t>patientId</w:t>
            </w:r>
          </w:p>
        </w:tc>
        <w:tc>
          <w:tcPr>
            <w:tcW w:type="dxa" w:w="2928"/>
            <w:shd w:val="clear" w:color="auto" w:fill="EEF2FF"/>
          </w:tcPr>
          <w:p>
            <w:r>
              <w:rPr>
                <w:sz w:val="18"/>
              </w:rPr>
              <w:t>PatientId</w:t>
            </w:r>
          </w:p>
        </w:tc>
        <w:tc>
          <w:tcPr>
            <w:tcW w:type="dxa" w:w="2928"/>
            <w:shd w:val="clear" w:color="auto" w:fill="EEF2FF"/>
          </w:tcPr>
          <w:p>
            <w:r>
              <w:rPr>
                <w:sz w:val="18"/>
              </w:rPr>
            </w:r>
          </w:p>
        </w:tc>
      </w:tr>
      <w:tr>
        <w:tc>
          <w:tcPr>
            <w:tcW w:type="dxa" w:w="2928"/>
            <w:shd w:val="clear" w:color="auto" w:fill="FFFFFF"/>
          </w:tcPr>
          <w:p>
            <w:r>
              <w:rPr>
                <w:sz w:val="18"/>
              </w:rPr>
              <w:t>score</w:t>
            </w:r>
          </w:p>
        </w:tc>
        <w:tc>
          <w:tcPr>
            <w:tcW w:type="dxa" w:w="2928"/>
            <w:shd w:val="clear" w:color="auto" w:fill="FFFFFF"/>
          </w:tcPr>
          <w:p>
            <w:r>
              <w:rPr>
                <w:sz w:val="18"/>
              </w:rPr>
              <w:t>RiskScore 0–100</w:t>
            </w:r>
          </w:p>
        </w:tc>
        <w:tc>
          <w:tcPr>
            <w:tcW w:type="dxa" w:w="2928"/>
            <w:shd w:val="clear" w:color="auto" w:fill="FFFFFF"/>
          </w:tcPr>
          <w:p>
            <w:r>
              <w:rPr>
                <w:sz w:val="18"/>
              </w:rPr>
              <w:t>Tier: Low / Moderate / High / Critical</w:t>
            </w:r>
          </w:p>
        </w:tc>
      </w:tr>
      <w:tr>
        <w:tc>
          <w:tcPr>
            <w:tcW w:type="dxa" w:w="2928"/>
            <w:shd w:val="clear" w:color="auto" w:fill="EEF2FF"/>
          </w:tcPr>
          <w:p>
            <w:r>
              <w:rPr>
                <w:sz w:val="18"/>
              </w:rPr>
              <w:t>factors</w:t>
            </w:r>
          </w:p>
        </w:tc>
        <w:tc>
          <w:tcPr>
            <w:tcW w:type="dxa" w:w="2928"/>
            <w:shd w:val="clear" w:color="auto" w:fill="EEF2FF"/>
          </w:tcPr>
          <w:p>
            <w:r>
              <w:rPr>
                <w:sz w:val="18"/>
              </w:rPr>
              <w:t>List[RiskFactor]</w:t>
            </w:r>
          </w:p>
        </w:tc>
        <w:tc>
          <w:tcPr>
            <w:tcW w:type="dxa" w:w="2928"/>
            <w:shd w:val="clear" w:color="auto" w:fill="EEF2FF"/>
          </w:tcPr>
          <w:p>
            <w:r>
              <w:rPr>
                <w:sz w:val="18"/>
              </w:rPr>
              <w:t>≥1 required if tier Moderate or higher</w:t>
            </w:r>
          </w:p>
        </w:tc>
      </w:tr>
      <w:tr>
        <w:tc>
          <w:tcPr>
            <w:tcW w:type="dxa" w:w="2928"/>
            <w:shd w:val="clear" w:color="auto" w:fill="FFFFFF"/>
          </w:tcPr>
          <w:p>
            <w:r>
              <w:rPr>
                <w:sz w:val="18"/>
              </w:rPr>
              <w:t>summary</w:t>
            </w:r>
          </w:p>
        </w:tc>
        <w:tc>
          <w:tcPr>
            <w:tcW w:type="dxa" w:w="2928"/>
            <w:shd w:val="clear" w:color="auto" w:fill="FFFFFF"/>
          </w:tcPr>
          <w:p>
            <w:r>
              <w:rPr>
                <w:sz w:val="18"/>
              </w:rPr>
              <w:t>ClinicalSummary</w:t>
            </w:r>
          </w:p>
        </w:tc>
        <w:tc>
          <w:tcPr>
            <w:tcW w:type="dxa" w:w="2928"/>
            <w:shd w:val="clear" w:color="auto" w:fill="FFFFFF"/>
          </w:tcPr>
          <w:p>
            <w:r>
              <w:rPr>
                <w:sz w:val="18"/>
              </w:rPr>
              <w:t>LLM narrative citing signal evidence</w:t>
            </w:r>
          </w:p>
        </w:tc>
      </w:tr>
      <w:tr>
        <w:tc>
          <w:tcPr>
            <w:tcW w:type="dxa" w:w="2928"/>
            <w:shd w:val="clear" w:color="auto" w:fill="EEF2FF"/>
          </w:tcPr>
          <w:p>
            <w:r>
              <w:rPr>
                <w:sz w:val="18"/>
              </w:rPr>
              <w:t>assessedAt</w:t>
            </w:r>
          </w:p>
        </w:tc>
        <w:tc>
          <w:tcPr>
            <w:tcW w:type="dxa" w:w="2928"/>
            <w:shd w:val="clear" w:color="auto" w:fill="EEF2FF"/>
          </w:tcPr>
          <w:p>
            <w:r>
              <w:rPr>
                <w:sz w:val="18"/>
              </w:rPr>
              <w:t>Timestamp</w:t>
            </w:r>
          </w:p>
        </w:tc>
        <w:tc>
          <w:tcPr>
            <w:tcW w:type="dxa" w:w="2928"/>
            <w:shd w:val="clear" w:color="auto" w:fill="EEF2FF"/>
          </w:tcPr>
          <w:p>
            <w:r>
              <w:rPr>
                <w:sz w:val="18"/>
              </w:rPr>
            </w:r>
          </w:p>
        </w:tc>
      </w:tr>
    </w:tbl>
    <w:p/>
    <w:p>
      <w:pPr>
        <w:pStyle w:val="Heading3"/>
      </w:pPr>
      <w:r>
        <w:rPr>
          <w:b/>
          <w:color w:val="1F3564"/>
        </w:rPr>
        <w:t>DevicePatientBinding — Device Identity &amp; Binding</w:t>
      </w:r>
    </w:p>
    <w:tbl>
      <w:tblPr>
        <w:tblStyle w:val="TableGrid"/>
        <w:tblW w:type="auto" w:w="0"/>
        <w:jc w:val="left"/>
        <w:tblLook w:firstColumn="1" w:firstRow="1" w:lastColumn="0" w:lastRow="0" w:noHBand="0" w:noVBand="1" w:val="04A0"/>
      </w:tblPr>
      <w:tblGrid>
        <w:gridCol w:w="2928"/>
        <w:gridCol w:w="2928"/>
        <w:gridCol w:w="2928"/>
      </w:tblGrid>
      <w:tr>
        <w:tc>
          <w:tcPr>
            <w:tcW w:type="dxa" w:w="2928"/>
            <w:shd w:val="clear" w:color="auto" w:fill="1F3564"/>
          </w:tcPr>
          <w:p>
            <w:r>
              <w:rPr>
                <w:b/>
                <w:color w:val="FFFFFF"/>
                <w:sz w:val="18"/>
              </w:rPr>
              <w:t>Field</w:t>
            </w:r>
          </w:p>
        </w:tc>
        <w:tc>
          <w:tcPr>
            <w:tcW w:type="dxa" w:w="2928"/>
            <w:shd w:val="clear" w:color="auto" w:fill="1F3564"/>
          </w:tcPr>
          <w:p>
            <w:r>
              <w:rPr>
                <w:b/>
                <w:color w:val="FFFFFF"/>
                <w:sz w:val="18"/>
              </w:rPr>
              <w:t>Type</w:t>
            </w:r>
          </w:p>
        </w:tc>
        <w:tc>
          <w:tcPr>
            <w:tcW w:type="dxa" w:w="2928"/>
            <w:shd w:val="clear" w:color="auto" w:fill="1F3564"/>
          </w:tcPr>
          <w:p>
            <w:r>
              <w:rPr>
                <w:b/>
                <w:color w:val="FFFFFF"/>
                <w:sz w:val="18"/>
              </w:rPr>
              <w:t>Notes</w:t>
            </w:r>
          </w:p>
        </w:tc>
      </w:tr>
      <w:tr>
        <w:tc>
          <w:tcPr>
            <w:tcW w:type="dxa" w:w="2928"/>
            <w:shd w:val="clear" w:color="auto" w:fill="FFFFFF"/>
          </w:tcPr>
          <w:p>
            <w:r>
              <w:rPr>
                <w:sz w:val="18"/>
              </w:rPr>
              <w:t>id</w:t>
            </w:r>
          </w:p>
        </w:tc>
        <w:tc>
          <w:tcPr>
            <w:tcW w:type="dxa" w:w="2928"/>
            <w:shd w:val="clear" w:color="auto" w:fill="FFFFFF"/>
          </w:tcPr>
          <w:p>
            <w:r>
              <w:rPr>
                <w:sz w:val="18"/>
              </w:rPr>
              <w:t>BindingId</w:t>
            </w:r>
          </w:p>
        </w:tc>
        <w:tc>
          <w:tcPr>
            <w:tcW w:type="dxa" w:w="2928"/>
            <w:shd w:val="clear" w:color="auto" w:fill="FFFFFF"/>
          </w:tcPr>
          <w:p>
            <w:r>
              <w:rPr>
                <w:sz w:val="18"/>
              </w:rPr>
            </w:r>
          </w:p>
        </w:tc>
      </w:tr>
      <w:tr>
        <w:tc>
          <w:tcPr>
            <w:tcW w:type="dxa" w:w="2928"/>
            <w:shd w:val="clear" w:color="auto" w:fill="EEF2FF"/>
          </w:tcPr>
          <w:p>
            <w:r>
              <w:rPr>
                <w:sz w:val="18"/>
              </w:rPr>
              <w:t>serialNumber</w:t>
            </w:r>
          </w:p>
        </w:tc>
        <w:tc>
          <w:tcPr>
            <w:tcW w:type="dxa" w:w="2928"/>
            <w:shd w:val="clear" w:color="auto" w:fill="EEF2FF"/>
          </w:tcPr>
          <w:p>
            <w:r>
              <w:rPr>
                <w:sz w:val="18"/>
              </w:rPr>
              <w:t>SerialNumber</w:t>
            </w:r>
          </w:p>
        </w:tc>
        <w:tc>
          <w:tcPr>
            <w:tcW w:type="dxa" w:w="2928"/>
            <w:shd w:val="clear" w:color="auto" w:fill="EEF2FF"/>
          </w:tcPr>
          <w:p>
            <w:r>
              <w:rPr>
                <w:sz w:val="18"/>
              </w:rPr>
              <w:t>Immutable hardware identity</w:t>
            </w:r>
          </w:p>
        </w:tc>
      </w:tr>
      <w:tr>
        <w:tc>
          <w:tcPr>
            <w:tcW w:type="dxa" w:w="2928"/>
            <w:shd w:val="clear" w:color="auto" w:fill="FFFFFF"/>
          </w:tcPr>
          <w:p>
            <w:r>
              <w:rPr>
                <w:sz w:val="18"/>
              </w:rPr>
              <w:t>devicePatientToken</w:t>
            </w:r>
          </w:p>
        </w:tc>
        <w:tc>
          <w:tcPr>
            <w:tcW w:type="dxa" w:w="2928"/>
            <w:shd w:val="clear" w:color="auto" w:fill="FFFFFF"/>
          </w:tcPr>
          <w:p>
            <w:r>
              <w:rPr>
                <w:sz w:val="18"/>
              </w:rPr>
              <w:t>DevicePatientToken</w:t>
            </w:r>
          </w:p>
        </w:tc>
        <w:tc>
          <w:tcPr>
            <w:tcW w:type="dxa" w:w="2928"/>
            <w:shd w:val="clear" w:color="auto" w:fill="FFFFFF"/>
          </w:tcPr>
          <w:p>
            <w:r>
              <w:rPr>
                <w:sz w:val="18"/>
              </w:rPr>
              <w:t>HMAC-SHA256(tenantId + FHIR PatientID) — write-once</w:t>
            </w:r>
          </w:p>
        </w:tc>
      </w:tr>
      <w:tr>
        <w:tc>
          <w:tcPr>
            <w:tcW w:type="dxa" w:w="2928"/>
            <w:shd w:val="clear" w:color="auto" w:fill="EEF2FF"/>
          </w:tcPr>
          <w:p>
            <w:r>
              <w:rPr>
                <w:sz w:val="18"/>
              </w:rPr>
              <w:t>tenantId</w:t>
            </w:r>
          </w:p>
        </w:tc>
        <w:tc>
          <w:tcPr>
            <w:tcW w:type="dxa" w:w="2928"/>
            <w:shd w:val="clear" w:color="auto" w:fill="EEF2FF"/>
          </w:tcPr>
          <w:p>
            <w:r>
              <w:rPr>
                <w:sz w:val="18"/>
              </w:rPr>
              <w:t>TenantId</w:t>
            </w:r>
          </w:p>
        </w:tc>
        <w:tc>
          <w:tcPr>
            <w:tcW w:type="dxa" w:w="2928"/>
            <w:shd w:val="clear" w:color="auto" w:fill="EEF2FF"/>
          </w:tcPr>
          <w:p>
            <w:r>
              <w:rPr>
                <w:sz w:val="18"/>
              </w:rPr>
              <w:t>Required to decode token at adapter</w:t>
            </w:r>
          </w:p>
        </w:tc>
      </w:tr>
      <w:tr>
        <w:tc>
          <w:tcPr>
            <w:tcW w:type="dxa" w:w="2928"/>
            <w:shd w:val="clear" w:color="auto" w:fill="FFFFFF"/>
          </w:tcPr>
          <w:p>
            <w:r>
              <w:rPr>
                <w:sz w:val="18"/>
              </w:rPr>
              <w:t>emrVendor</w:t>
            </w:r>
          </w:p>
        </w:tc>
        <w:tc>
          <w:tcPr>
            <w:tcW w:type="dxa" w:w="2928"/>
            <w:shd w:val="clear" w:color="auto" w:fill="FFFFFF"/>
          </w:tcPr>
          <w:p>
            <w:r>
              <w:rPr>
                <w:sz w:val="18"/>
              </w:rPr>
              <w:t>Enum</w:t>
            </w:r>
          </w:p>
        </w:tc>
        <w:tc>
          <w:tcPr>
            <w:tcW w:type="dxa" w:w="2928"/>
            <w:shd w:val="clear" w:color="auto" w:fill="FFFFFF"/>
          </w:tcPr>
          <w:p>
            <w:r>
              <w:rPr>
                <w:sz w:val="18"/>
              </w:rPr>
              <w:t>EpicAdapter | CernerAdapter | GenericFHIRAdapter</w:t>
            </w:r>
          </w:p>
        </w:tc>
      </w:tr>
      <w:tr>
        <w:tc>
          <w:tcPr>
            <w:tcW w:type="dxa" w:w="2928"/>
            <w:shd w:val="clear" w:color="auto" w:fill="EEF2FF"/>
          </w:tcPr>
          <w:p>
            <w:r>
              <w:rPr>
                <w:sz w:val="18"/>
              </w:rPr>
              <w:t>boundBy</w:t>
            </w:r>
          </w:p>
        </w:tc>
        <w:tc>
          <w:tcPr>
            <w:tcW w:type="dxa" w:w="2928"/>
            <w:shd w:val="clear" w:color="auto" w:fill="EEF2FF"/>
          </w:tcPr>
          <w:p>
            <w:r>
              <w:rPr>
                <w:sz w:val="18"/>
              </w:rPr>
              <w:t>PractitionerId</w:t>
            </w:r>
          </w:p>
        </w:tc>
        <w:tc>
          <w:tcPr>
            <w:tcW w:type="dxa" w:w="2928"/>
            <w:shd w:val="clear" w:color="auto" w:fill="EEF2FF"/>
          </w:tcPr>
          <w:p>
            <w:r>
              <w:rPr>
                <w:sz w:val="18"/>
              </w:rPr>
              <w:t>Clinician who created the binding</w:t>
            </w:r>
          </w:p>
        </w:tc>
      </w:tr>
      <w:tr>
        <w:tc>
          <w:tcPr>
            <w:tcW w:type="dxa" w:w="2928"/>
            <w:shd w:val="clear" w:color="auto" w:fill="FFFFFF"/>
          </w:tcPr>
          <w:p>
            <w:r>
              <w:rPr>
                <w:sz w:val="18"/>
              </w:rPr>
              <w:t>status</w:t>
            </w:r>
          </w:p>
        </w:tc>
        <w:tc>
          <w:tcPr>
            <w:tcW w:type="dxa" w:w="2928"/>
            <w:shd w:val="clear" w:color="auto" w:fill="FFFFFF"/>
          </w:tcPr>
          <w:p>
            <w:r>
              <w:rPr>
                <w:sz w:val="18"/>
              </w:rPr>
              <w:t>Enum</w:t>
            </w:r>
          </w:p>
        </w:tc>
        <w:tc>
          <w:tcPr>
            <w:tcW w:type="dxa" w:w="2928"/>
            <w:shd w:val="clear" w:color="auto" w:fill="FFFFFF"/>
          </w:tcPr>
          <w:p>
            <w:r>
              <w:rPr>
                <w:sz w:val="18"/>
              </w:rPr>
              <w:t>Active | Expired | Revoked</w:t>
            </w:r>
          </w:p>
        </w:tc>
      </w:tr>
    </w:tbl>
    <w:p/>
    <w:p>
      <w:pPr>
        <w:spacing w:after="120"/>
      </w:pPr>
      <w:r>
        <w:rPr>
          <w:b w:val="0"/>
          <w:i/>
          <w:color w:val="595959"/>
          <w:sz w:val="20"/>
        </w:rPr>
        <w:t>Invariants: one Active binding per serial number; token is write-once; rebinding requires explicit revocation.</w:t>
      </w:r>
    </w:p>
    <w:p>
      <w:pPr>
        <w:pStyle w:val="Heading2"/>
      </w:pPr>
      <w:r>
        <w:rPr>
          <w:b/>
          <w:color w:val="1F3564"/>
        </w:rPr>
        <w:t>8.2 Domain Events Catalog</w:t>
      </w:r>
    </w:p>
    <w:tbl>
      <w:tblPr>
        <w:tblStyle w:val="TableGrid"/>
        <w:tblW w:type="auto" w:w="0"/>
        <w:jc w:val="left"/>
        <w:tblLook w:firstColumn="1" w:firstRow="1" w:lastColumn="0" w:lastRow="0" w:noHBand="0" w:noVBand="1" w:val="04A0"/>
      </w:tblPr>
      <w:tblGrid>
        <w:gridCol w:w="2928"/>
        <w:gridCol w:w="2928"/>
        <w:gridCol w:w="2928"/>
      </w:tblGrid>
      <w:tr>
        <w:tc>
          <w:tcPr>
            <w:tcW w:type="dxa" w:w="2928"/>
            <w:shd w:val="clear" w:color="auto" w:fill="1F3564"/>
          </w:tcPr>
          <w:p>
            <w:r>
              <w:rPr>
                <w:b/>
                <w:color w:val="FFFFFF"/>
                <w:sz w:val="18"/>
              </w:rPr>
              <w:t>Event</w:t>
            </w:r>
          </w:p>
        </w:tc>
        <w:tc>
          <w:tcPr>
            <w:tcW w:type="dxa" w:w="2928"/>
            <w:shd w:val="clear" w:color="auto" w:fill="1F3564"/>
          </w:tcPr>
          <w:p>
            <w:r>
              <w:rPr>
                <w:b/>
                <w:color w:val="FFFFFF"/>
                <w:sz w:val="18"/>
              </w:rPr>
              <w:t>Raised By</w:t>
            </w:r>
          </w:p>
        </w:tc>
        <w:tc>
          <w:tcPr>
            <w:tcW w:type="dxa" w:w="2928"/>
            <w:shd w:val="clear" w:color="auto" w:fill="1F3564"/>
          </w:tcPr>
          <w:p>
            <w:r>
              <w:rPr>
                <w:b/>
                <w:color w:val="FFFFFF"/>
                <w:sz w:val="18"/>
              </w:rPr>
              <w:t>Consumed By</w:t>
            </w:r>
          </w:p>
        </w:tc>
      </w:tr>
      <w:tr>
        <w:tc>
          <w:tcPr>
            <w:tcW w:type="dxa" w:w="2928"/>
            <w:shd w:val="clear" w:color="auto" w:fill="FFFFFF"/>
          </w:tcPr>
          <w:p>
            <w:r>
              <w:rPr>
                <w:sz w:val="18"/>
              </w:rPr>
              <w:t>SignalObservationRecorded</w:t>
            </w:r>
          </w:p>
        </w:tc>
        <w:tc>
          <w:tcPr>
            <w:tcW w:type="dxa" w:w="2928"/>
            <w:shd w:val="clear" w:color="auto" w:fill="FFFFFF"/>
          </w:tcPr>
          <w:p>
            <w:r>
              <w:rPr>
                <w:sz w:val="18"/>
              </w:rPr>
              <w:t>Signal Processing</w:t>
            </w:r>
          </w:p>
        </w:tc>
        <w:tc>
          <w:tcPr>
            <w:tcW w:type="dxa" w:w="2928"/>
            <w:shd w:val="clear" w:color="auto" w:fill="FFFFFF"/>
          </w:tcPr>
          <w:p>
            <w:r>
              <w:rPr>
                <w:sz w:val="18"/>
              </w:rPr>
              <w:t>CDS, Patient Engagement, Research Analytics</w:t>
            </w:r>
          </w:p>
        </w:tc>
      </w:tr>
      <w:tr>
        <w:tc>
          <w:tcPr>
            <w:tcW w:type="dxa" w:w="2928"/>
            <w:shd w:val="clear" w:color="auto" w:fill="EEF2FF"/>
          </w:tcPr>
          <w:p>
            <w:r>
              <w:rPr>
                <w:sz w:val="18"/>
              </w:rPr>
              <w:t>BaselineUpdated</w:t>
            </w:r>
          </w:p>
        </w:tc>
        <w:tc>
          <w:tcPr>
            <w:tcW w:type="dxa" w:w="2928"/>
            <w:shd w:val="clear" w:color="auto" w:fill="EEF2FF"/>
          </w:tcPr>
          <w:p>
            <w:r>
              <w:rPr>
                <w:sz w:val="18"/>
              </w:rPr>
              <w:t>Signal Processing</w:t>
            </w:r>
          </w:p>
        </w:tc>
        <w:tc>
          <w:tcPr>
            <w:tcW w:type="dxa" w:w="2928"/>
            <w:shd w:val="clear" w:color="auto" w:fill="EEF2FF"/>
          </w:tcPr>
          <w:p>
            <w:r>
              <w:rPr>
                <w:sz w:val="18"/>
              </w:rPr>
              <w:t>CDS</w:t>
            </w:r>
          </w:p>
        </w:tc>
      </w:tr>
      <w:tr>
        <w:tc>
          <w:tcPr>
            <w:tcW w:type="dxa" w:w="2928"/>
            <w:shd w:val="clear" w:color="auto" w:fill="FFFFFF"/>
          </w:tcPr>
          <w:p>
            <w:r>
              <w:rPr>
                <w:sz w:val="18"/>
              </w:rPr>
              <w:t>HypoxiaFlagRaised</w:t>
            </w:r>
          </w:p>
        </w:tc>
        <w:tc>
          <w:tcPr>
            <w:tcW w:type="dxa" w:w="2928"/>
            <w:shd w:val="clear" w:color="auto" w:fill="FFFFFF"/>
          </w:tcPr>
          <w:p>
            <w:r>
              <w:rPr>
                <w:sz w:val="18"/>
              </w:rPr>
              <w:t>Signal Processing</w:t>
            </w:r>
          </w:p>
        </w:tc>
        <w:tc>
          <w:tcPr>
            <w:tcW w:type="dxa" w:w="2928"/>
            <w:shd w:val="clear" w:color="auto" w:fill="FFFFFF"/>
          </w:tcPr>
          <w:p>
            <w:r>
              <w:rPr>
                <w:sz w:val="18"/>
              </w:rPr>
              <w:t>CDS, Care Coordination</w:t>
            </w:r>
          </w:p>
        </w:tc>
      </w:tr>
      <w:tr>
        <w:tc>
          <w:tcPr>
            <w:tcW w:type="dxa" w:w="2928"/>
            <w:shd w:val="clear" w:color="auto" w:fill="EEF2FF"/>
          </w:tcPr>
          <w:p>
            <w:r>
              <w:rPr>
                <w:sz w:val="18"/>
              </w:rPr>
              <w:t>OxidativeStressSpikeDetected</w:t>
            </w:r>
          </w:p>
        </w:tc>
        <w:tc>
          <w:tcPr>
            <w:tcW w:type="dxa" w:w="2928"/>
            <w:shd w:val="clear" w:color="auto" w:fill="EEF2FF"/>
          </w:tcPr>
          <w:p>
            <w:r>
              <w:rPr>
                <w:sz w:val="18"/>
              </w:rPr>
              <w:t>Signal Processing</w:t>
            </w:r>
          </w:p>
        </w:tc>
        <w:tc>
          <w:tcPr>
            <w:tcW w:type="dxa" w:w="2928"/>
            <w:shd w:val="clear" w:color="auto" w:fill="EEF2FF"/>
          </w:tcPr>
          <w:p>
            <w:r>
              <w:rPr>
                <w:sz w:val="18"/>
              </w:rPr>
              <w:t>CDS</w:t>
            </w:r>
          </w:p>
        </w:tc>
      </w:tr>
      <w:tr>
        <w:tc>
          <w:tcPr>
            <w:tcW w:type="dxa" w:w="2928"/>
            <w:shd w:val="clear" w:color="auto" w:fill="FFFFFF"/>
          </w:tcPr>
          <w:p>
            <w:r>
              <w:rPr>
                <w:sz w:val="18"/>
              </w:rPr>
              <w:t>FeverFlagRaised</w:t>
            </w:r>
          </w:p>
        </w:tc>
        <w:tc>
          <w:tcPr>
            <w:tcW w:type="dxa" w:w="2928"/>
            <w:shd w:val="clear" w:color="auto" w:fill="FFFFFF"/>
          </w:tcPr>
          <w:p>
            <w:r>
              <w:rPr>
                <w:sz w:val="18"/>
              </w:rPr>
              <w:t>Signal Processing</w:t>
            </w:r>
          </w:p>
        </w:tc>
        <w:tc>
          <w:tcPr>
            <w:tcW w:type="dxa" w:w="2928"/>
            <w:shd w:val="clear" w:color="auto" w:fill="FFFFFF"/>
          </w:tcPr>
          <w:p>
            <w:r>
              <w:rPr>
                <w:sz w:val="18"/>
              </w:rPr>
              <w:t>CDS, Patient Engagement</w:t>
            </w:r>
          </w:p>
        </w:tc>
      </w:tr>
      <w:tr>
        <w:tc>
          <w:tcPr>
            <w:tcW w:type="dxa" w:w="2928"/>
            <w:shd w:val="clear" w:color="auto" w:fill="EEF2FF"/>
          </w:tcPr>
          <w:p>
            <w:r>
              <w:rPr>
                <w:sz w:val="18"/>
              </w:rPr>
              <w:t>RiskAssessmentCompleted</w:t>
            </w:r>
          </w:p>
        </w:tc>
        <w:tc>
          <w:tcPr>
            <w:tcW w:type="dxa" w:w="2928"/>
            <w:shd w:val="clear" w:color="auto" w:fill="EEF2FF"/>
          </w:tcPr>
          <w:p>
            <w:r>
              <w:rPr>
                <w:sz w:val="18"/>
              </w:rPr>
              <w:t>CDS</w:t>
            </w:r>
          </w:p>
        </w:tc>
        <w:tc>
          <w:tcPr>
            <w:tcW w:type="dxa" w:w="2928"/>
            <w:shd w:val="clear" w:color="auto" w:fill="EEF2FF"/>
          </w:tcPr>
          <w:p>
            <w:r>
              <w:rPr>
                <w:sz w:val="18"/>
              </w:rPr>
              <w:t>Care Coordination, Patient Engagement, Population Health</w:t>
            </w:r>
          </w:p>
        </w:tc>
      </w:tr>
      <w:tr>
        <w:tc>
          <w:tcPr>
            <w:tcW w:type="dxa" w:w="2928"/>
            <w:shd w:val="clear" w:color="auto" w:fill="FFFFFF"/>
          </w:tcPr>
          <w:p>
            <w:r>
              <w:rPr>
                <w:sz w:val="18"/>
              </w:rPr>
              <w:t>EscalationTriggered</w:t>
            </w:r>
          </w:p>
        </w:tc>
        <w:tc>
          <w:tcPr>
            <w:tcW w:type="dxa" w:w="2928"/>
            <w:shd w:val="clear" w:color="auto" w:fill="FFFFFF"/>
          </w:tcPr>
          <w:p>
            <w:r>
              <w:rPr>
                <w:sz w:val="18"/>
              </w:rPr>
              <w:t>Care Coordination</w:t>
            </w:r>
          </w:p>
        </w:tc>
        <w:tc>
          <w:tcPr>
            <w:tcW w:type="dxa" w:w="2928"/>
            <w:shd w:val="clear" w:color="auto" w:fill="FFFFFF"/>
          </w:tcPr>
          <w:p>
            <w:r>
              <w:rPr>
                <w:sz w:val="18"/>
              </w:rPr>
              <w:t>Patient Engagement</w:t>
            </w:r>
          </w:p>
        </w:tc>
      </w:tr>
      <w:tr>
        <w:tc>
          <w:tcPr>
            <w:tcW w:type="dxa" w:w="2928"/>
            <w:shd w:val="clear" w:color="auto" w:fill="EEF2FF"/>
          </w:tcPr>
          <w:p>
            <w:r>
              <w:rPr>
                <w:sz w:val="18"/>
              </w:rPr>
              <w:t>EscalationResolved</w:t>
            </w:r>
          </w:p>
        </w:tc>
        <w:tc>
          <w:tcPr>
            <w:tcW w:type="dxa" w:w="2928"/>
            <w:shd w:val="clear" w:color="auto" w:fill="EEF2FF"/>
          </w:tcPr>
          <w:p>
            <w:r>
              <w:rPr>
                <w:sz w:val="18"/>
              </w:rPr>
              <w:t>Care Coordination</w:t>
            </w:r>
          </w:p>
        </w:tc>
        <w:tc>
          <w:tcPr>
            <w:tcW w:type="dxa" w:w="2928"/>
            <w:shd w:val="clear" w:color="auto" w:fill="EEF2FF"/>
          </w:tcPr>
          <w:p>
            <w:r>
              <w:rPr>
                <w:sz w:val="18"/>
              </w:rPr>
              <w:t>Population Health</w:t>
            </w:r>
          </w:p>
        </w:tc>
      </w:tr>
      <w:tr>
        <w:tc>
          <w:tcPr>
            <w:tcW w:type="dxa" w:w="2928"/>
            <w:shd w:val="clear" w:color="auto" w:fill="FFFFFF"/>
          </w:tcPr>
          <w:p>
            <w:r>
              <w:rPr>
                <w:sz w:val="18"/>
              </w:rPr>
              <w:t>PatientSessionEstablished</w:t>
            </w:r>
          </w:p>
        </w:tc>
        <w:tc>
          <w:tcPr>
            <w:tcW w:type="dxa" w:w="2928"/>
            <w:shd w:val="clear" w:color="auto" w:fill="FFFFFF"/>
          </w:tcPr>
          <w:p>
            <w:r>
              <w:rPr>
                <w:sz w:val="18"/>
              </w:rPr>
              <w:t>EMR Integration Gateway</w:t>
            </w:r>
          </w:p>
        </w:tc>
        <w:tc>
          <w:tcPr>
            <w:tcW w:type="dxa" w:w="2928"/>
            <w:shd w:val="clear" w:color="auto" w:fill="FFFFFF"/>
          </w:tcPr>
          <w:p>
            <w:r>
              <w:rPr>
                <w:sz w:val="18"/>
              </w:rPr>
              <w:t>Signal Processing, CDS, Patient Engagement</w:t>
            </w:r>
          </w:p>
        </w:tc>
      </w:tr>
      <w:tr>
        <w:tc>
          <w:tcPr>
            <w:tcW w:type="dxa" w:w="2928"/>
            <w:shd w:val="clear" w:color="auto" w:fill="EEF2FF"/>
          </w:tcPr>
          <w:p>
            <w:r>
              <w:rPr>
                <w:sz w:val="18"/>
              </w:rPr>
              <w:t>PatientSessionExpired</w:t>
            </w:r>
          </w:p>
        </w:tc>
        <w:tc>
          <w:tcPr>
            <w:tcW w:type="dxa" w:w="2928"/>
            <w:shd w:val="clear" w:color="auto" w:fill="EEF2FF"/>
          </w:tcPr>
          <w:p>
            <w:r>
              <w:rPr>
                <w:sz w:val="18"/>
              </w:rPr>
              <w:t>EMR Integration Gateway</w:t>
            </w:r>
          </w:p>
        </w:tc>
        <w:tc>
          <w:tcPr>
            <w:tcW w:type="dxa" w:w="2928"/>
            <w:shd w:val="clear" w:color="auto" w:fill="EEF2FF"/>
          </w:tcPr>
          <w:p>
            <w:r>
              <w:rPr>
                <w:sz w:val="18"/>
              </w:rPr>
              <w:t>All contexts</w:t>
            </w:r>
          </w:p>
        </w:tc>
      </w:tr>
      <w:tr>
        <w:tc>
          <w:tcPr>
            <w:tcW w:type="dxa" w:w="2928"/>
            <w:shd w:val="clear" w:color="auto" w:fill="FFFFFF"/>
          </w:tcPr>
          <w:p>
            <w:r>
              <w:rPr>
                <w:sz w:val="18"/>
              </w:rPr>
              <w:t>RiskScoreWrittenToEMR</w:t>
            </w:r>
          </w:p>
        </w:tc>
        <w:tc>
          <w:tcPr>
            <w:tcW w:type="dxa" w:w="2928"/>
            <w:shd w:val="clear" w:color="auto" w:fill="FFFFFF"/>
          </w:tcPr>
          <w:p>
            <w:r>
              <w:rPr>
                <w:sz w:val="18"/>
              </w:rPr>
              <w:t>EMR Integration Gateway</w:t>
            </w:r>
          </w:p>
        </w:tc>
        <w:tc>
          <w:tcPr>
            <w:tcW w:type="dxa" w:w="2928"/>
            <w:shd w:val="clear" w:color="auto" w:fill="FFFFFF"/>
          </w:tcPr>
          <w:p>
            <w:r>
              <w:rPr>
                <w:sz w:val="18"/>
              </w:rPr>
              <w:t>Audit &amp; Compliance</w:t>
            </w:r>
          </w:p>
        </w:tc>
      </w:tr>
      <w:tr>
        <w:tc>
          <w:tcPr>
            <w:tcW w:type="dxa" w:w="2928"/>
            <w:shd w:val="clear" w:color="auto" w:fill="EEF2FF"/>
          </w:tcPr>
          <w:p>
            <w:r>
              <w:rPr>
                <w:sz w:val="18"/>
              </w:rPr>
              <w:t>SOAPDraftWrittenToEMR</w:t>
            </w:r>
          </w:p>
        </w:tc>
        <w:tc>
          <w:tcPr>
            <w:tcW w:type="dxa" w:w="2928"/>
            <w:shd w:val="clear" w:color="auto" w:fill="EEF2FF"/>
          </w:tcPr>
          <w:p>
            <w:r>
              <w:rPr>
                <w:sz w:val="18"/>
              </w:rPr>
              <w:t>EMR Integration Gateway</w:t>
            </w:r>
          </w:p>
        </w:tc>
        <w:tc>
          <w:tcPr>
            <w:tcW w:type="dxa" w:w="2928"/>
            <w:shd w:val="clear" w:color="auto" w:fill="EEF2FF"/>
          </w:tcPr>
          <w:p>
            <w:r>
              <w:rPr>
                <w:sz w:val="18"/>
              </w:rPr>
              <w:t>Audit &amp; Compliance</w:t>
            </w:r>
          </w:p>
        </w:tc>
      </w:tr>
      <w:tr>
        <w:tc>
          <w:tcPr>
            <w:tcW w:type="dxa" w:w="2928"/>
            <w:shd w:val="clear" w:color="auto" w:fill="FFFFFF"/>
          </w:tcPr>
          <w:p>
            <w:r>
              <w:rPr>
                <w:sz w:val="18"/>
              </w:rPr>
              <w:t>DevicePatientBindingCreated</w:t>
            </w:r>
          </w:p>
        </w:tc>
        <w:tc>
          <w:tcPr>
            <w:tcW w:type="dxa" w:w="2928"/>
            <w:shd w:val="clear" w:color="auto" w:fill="FFFFFF"/>
          </w:tcPr>
          <w:p>
            <w:r>
              <w:rPr>
                <w:sz w:val="18"/>
              </w:rPr>
              <w:t>Device Identity &amp; Binding</w:t>
            </w:r>
          </w:p>
        </w:tc>
        <w:tc>
          <w:tcPr>
            <w:tcW w:type="dxa" w:w="2928"/>
            <w:shd w:val="clear" w:color="auto" w:fill="FFFFFF"/>
          </w:tcPr>
          <w:p>
            <w:r>
              <w:rPr>
                <w:sz w:val="18"/>
              </w:rPr>
              <w:t>EMR Integration Gateway, Audit &amp; Compliance</w:t>
            </w:r>
          </w:p>
        </w:tc>
      </w:tr>
      <w:tr>
        <w:tc>
          <w:tcPr>
            <w:tcW w:type="dxa" w:w="2928"/>
            <w:shd w:val="clear" w:color="auto" w:fill="EEF2FF"/>
          </w:tcPr>
          <w:p>
            <w:r>
              <w:rPr>
                <w:sz w:val="18"/>
              </w:rPr>
              <w:t>DevicePatientBindingRevoked</w:t>
            </w:r>
          </w:p>
        </w:tc>
        <w:tc>
          <w:tcPr>
            <w:tcW w:type="dxa" w:w="2928"/>
            <w:shd w:val="clear" w:color="auto" w:fill="EEF2FF"/>
          </w:tcPr>
          <w:p>
            <w:r>
              <w:rPr>
                <w:sz w:val="18"/>
              </w:rPr>
              <w:t>Device Identity &amp; Binding</w:t>
            </w:r>
          </w:p>
        </w:tc>
        <w:tc>
          <w:tcPr>
            <w:tcW w:type="dxa" w:w="2928"/>
            <w:shd w:val="clear" w:color="auto" w:fill="EEF2FF"/>
          </w:tcPr>
          <w:p>
            <w:r>
              <w:rPr>
                <w:sz w:val="18"/>
              </w:rPr>
              <w:t>EMR Integration Gateway, Audit &amp; Compliance</w:t>
            </w:r>
          </w:p>
        </w:tc>
      </w:tr>
      <w:tr>
        <w:tc>
          <w:tcPr>
            <w:tcW w:type="dxa" w:w="2928"/>
            <w:shd w:val="clear" w:color="auto" w:fill="FFFFFF"/>
          </w:tcPr>
          <w:p>
            <w:r>
              <w:rPr>
                <w:sz w:val="18"/>
              </w:rPr>
              <w:t>DevicePatientBindingExpired</w:t>
            </w:r>
          </w:p>
        </w:tc>
        <w:tc>
          <w:tcPr>
            <w:tcW w:type="dxa" w:w="2928"/>
            <w:shd w:val="clear" w:color="auto" w:fill="FFFFFF"/>
          </w:tcPr>
          <w:p>
            <w:r>
              <w:rPr>
                <w:sz w:val="18"/>
              </w:rPr>
              <w:t>Device Identity &amp; Binding</w:t>
            </w:r>
          </w:p>
        </w:tc>
        <w:tc>
          <w:tcPr>
            <w:tcW w:type="dxa" w:w="2928"/>
            <w:shd w:val="clear" w:color="auto" w:fill="FFFFFF"/>
          </w:tcPr>
          <w:p>
            <w:r>
              <w:rPr>
                <w:sz w:val="18"/>
              </w:rPr>
              <w:t>EMR Integration Gateway, Platform Observability</w:t>
            </w:r>
          </w:p>
        </w:tc>
      </w:tr>
      <w:tr>
        <w:tc>
          <w:tcPr>
            <w:tcW w:type="dxa" w:w="2928"/>
            <w:shd w:val="clear" w:color="auto" w:fill="EEF2FF"/>
          </w:tcPr>
          <w:p>
            <w:r>
              <w:rPr>
                <w:sz w:val="18"/>
              </w:rPr>
              <w:t>DeviceOfflineDetected</w:t>
            </w:r>
          </w:p>
        </w:tc>
        <w:tc>
          <w:tcPr>
            <w:tcW w:type="dxa" w:w="2928"/>
            <w:shd w:val="clear" w:color="auto" w:fill="EEF2FF"/>
          </w:tcPr>
          <w:p>
            <w:r>
              <w:rPr>
                <w:sz w:val="18"/>
              </w:rPr>
              <w:t>Device Connectivity</w:t>
            </w:r>
          </w:p>
        </w:tc>
        <w:tc>
          <w:tcPr>
            <w:tcW w:type="dxa" w:w="2928"/>
            <w:shd w:val="clear" w:color="auto" w:fill="EEF2FF"/>
          </w:tcPr>
          <w:p>
            <w:r>
              <w:rPr>
                <w:sz w:val="18"/>
              </w:rPr>
              <w:t>Platform Observability</w:t>
            </w:r>
          </w:p>
        </w:tc>
      </w:tr>
      <w:tr>
        <w:tc>
          <w:tcPr>
            <w:tcW w:type="dxa" w:w="2928"/>
            <w:shd w:val="clear" w:color="auto" w:fill="FFFFFF"/>
          </w:tcPr>
          <w:p>
            <w:r>
              <w:rPr>
                <w:sz w:val="18"/>
              </w:rPr>
              <w:t>PipelineLatencyBreached</w:t>
            </w:r>
          </w:p>
        </w:tc>
        <w:tc>
          <w:tcPr>
            <w:tcW w:type="dxa" w:w="2928"/>
            <w:shd w:val="clear" w:color="auto" w:fill="FFFFFF"/>
          </w:tcPr>
          <w:p>
            <w:r>
              <w:rPr>
                <w:sz w:val="18"/>
              </w:rPr>
              <w:t>Signal Processing</w:t>
            </w:r>
          </w:p>
        </w:tc>
        <w:tc>
          <w:tcPr>
            <w:tcW w:type="dxa" w:w="2928"/>
            <w:shd w:val="clear" w:color="auto" w:fill="FFFFFF"/>
          </w:tcPr>
          <w:p>
            <w:r>
              <w:rPr>
                <w:sz w:val="18"/>
              </w:rPr>
              <w:t>Platform Observability</w:t>
            </w:r>
          </w:p>
        </w:tc>
      </w:tr>
      <w:tr>
        <w:tc>
          <w:tcPr>
            <w:tcW w:type="dxa" w:w="2928"/>
            <w:shd w:val="clear" w:color="auto" w:fill="EEF2FF"/>
          </w:tcPr>
          <w:p>
            <w:r>
              <w:rPr>
                <w:sz w:val="18"/>
              </w:rPr>
              <w:t>SLABreachTriggered</w:t>
            </w:r>
          </w:p>
        </w:tc>
        <w:tc>
          <w:tcPr>
            <w:tcW w:type="dxa" w:w="2928"/>
            <w:shd w:val="clear" w:color="auto" w:fill="EEF2FF"/>
          </w:tcPr>
          <w:p>
            <w:r>
              <w:rPr>
                <w:sz w:val="18"/>
              </w:rPr>
              <w:t>Platform Observability</w:t>
            </w:r>
          </w:p>
        </w:tc>
        <w:tc>
          <w:tcPr>
            <w:tcW w:type="dxa" w:w="2928"/>
            <w:shd w:val="clear" w:color="auto" w:fill="EEF2FF"/>
          </w:tcPr>
          <w:p>
            <w:r>
              <w:rPr>
                <w:sz w:val="18"/>
              </w:rPr>
              <w:t>Corporate Administrator</w:t>
            </w:r>
          </w:p>
        </w:tc>
      </w:tr>
    </w:tbl>
    <w:p/>
    <w:p>
      <w:r>
        <w:br w:type="page"/>
      </w:r>
    </w:p>
    <w:p>
      <w:pPr>
        <w:pStyle w:val="Heading1"/>
      </w:pPr>
      <w:r>
        <w:rPr>
          <w:b/>
          <w:color w:val="1F3564"/>
        </w:rPr>
        <w:t>9. Context Map</w:t>
      </w:r>
    </w:p>
    <w:p>
      <w:pPr>
        <w:spacing w:after="120"/>
      </w:pPr>
      <w:r>
        <w:rPr>
          <w:b w:val="0"/>
          <w:i w:val="0"/>
          <w:color w:val="000000"/>
          <w:sz w:val="20"/>
        </w:rPr>
        <w:t>The context map describes how bounded contexts relate to each other and to external systems using DDD relationship patterns.</w:t>
      </w:r>
    </w:p>
    <w:tbl>
      <w:tblPr>
        <w:tblStyle w:val="TableGrid"/>
        <w:tblW w:type="auto" w:w="0"/>
        <w:jc w:val="left"/>
        <w:tblLook w:firstColumn="1" w:firstRow="1" w:lastColumn="0" w:lastRow="0" w:noHBand="0" w:noVBand="1" w:val="04A0"/>
      </w:tblPr>
      <w:tblGrid>
        <w:gridCol w:w="2196"/>
        <w:gridCol w:w="2196"/>
        <w:gridCol w:w="2196"/>
        <w:gridCol w:w="2196"/>
      </w:tblGrid>
      <w:tr>
        <w:tc>
          <w:tcPr>
            <w:tcW w:type="dxa" w:w="2196"/>
            <w:shd w:val="clear" w:color="auto" w:fill="1F3564"/>
          </w:tcPr>
          <w:p>
            <w:r>
              <w:rPr>
                <w:b/>
                <w:color w:val="FFFFFF"/>
                <w:sz w:val="18"/>
              </w:rPr>
              <w:t>Upstream</w:t>
            </w:r>
          </w:p>
        </w:tc>
        <w:tc>
          <w:tcPr>
            <w:tcW w:type="dxa" w:w="2196"/>
            <w:shd w:val="clear" w:color="auto" w:fill="1F3564"/>
          </w:tcPr>
          <w:p>
            <w:r>
              <w:rPr>
                <w:b/>
                <w:color w:val="FFFFFF"/>
                <w:sz w:val="18"/>
              </w:rPr>
              <w:t>Downstream</w:t>
            </w:r>
          </w:p>
        </w:tc>
        <w:tc>
          <w:tcPr>
            <w:tcW w:type="dxa" w:w="2196"/>
            <w:shd w:val="clear" w:color="auto" w:fill="1F3564"/>
          </w:tcPr>
          <w:p>
            <w:r>
              <w:rPr>
                <w:b/>
                <w:color w:val="FFFFFF"/>
                <w:sz w:val="18"/>
              </w:rPr>
              <w:t>Pattern</w:t>
            </w:r>
          </w:p>
        </w:tc>
        <w:tc>
          <w:tcPr>
            <w:tcW w:type="dxa" w:w="2196"/>
            <w:shd w:val="clear" w:color="auto" w:fill="1F3564"/>
          </w:tcPr>
          <w:p>
            <w:r>
              <w:rPr>
                <w:b/>
                <w:color w:val="FFFFFF"/>
                <w:sz w:val="18"/>
              </w:rPr>
              <w:t>What Flows</w:t>
            </w:r>
          </w:p>
        </w:tc>
      </w:tr>
      <w:tr>
        <w:tc>
          <w:tcPr>
            <w:tcW w:type="dxa" w:w="2196"/>
            <w:shd w:val="clear" w:color="auto" w:fill="FFFFFF"/>
          </w:tcPr>
          <w:p>
            <w:r>
              <w:rPr>
                <w:sz w:val="18"/>
              </w:rPr>
              <w:t>Device Connectivity</w:t>
            </w:r>
          </w:p>
        </w:tc>
        <w:tc>
          <w:tcPr>
            <w:tcW w:type="dxa" w:w="2196"/>
            <w:shd w:val="clear" w:color="auto" w:fill="FFFFFF"/>
          </w:tcPr>
          <w:p>
            <w:r>
              <w:rPr>
                <w:sz w:val="18"/>
              </w:rPr>
              <w:t>Signal Processing</w:t>
            </w:r>
          </w:p>
        </w:tc>
        <w:tc>
          <w:tcPr>
            <w:tcW w:type="dxa" w:w="2196"/>
            <w:shd w:val="clear" w:color="auto" w:fill="FFFFFF"/>
          </w:tcPr>
          <w:p>
            <w:r>
              <w:rPr>
                <w:sz w:val="18"/>
              </w:rPr>
              <w:t>Published Language</w:t>
            </w:r>
          </w:p>
        </w:tc>
        <w:tc>
          <w:tcPr>
            <w:tcW w:type="dxa" w:w="2196"/>
            <w:shd w:val="clear" w:color="auto" w:fill="FFFFFF"/>
          </w:tcPr>
          <w:p>
            <w:r>
              <w:rPr>
                <w:sz w:val="18"/>
              </w:rPr>
              <w:t>Validated signal packets</w:t>
            </w:r>
          </w:p>
        </w:tc>
      </w:tr>
      <w:tr>
        <w:tc>
          <w:tcPr>
            <w:tcW w:type="dxa" w:w="2196"/>
            <w:shd w:val="clear" w:color="auto" w:fill="EEF2FF"/>
          </w:tcPr>
          <w:p>
            <w:r>
              <w:rPr>
                <w:sz w:val="18"/>
              </w:rPr>
              <w:t>Device Connectivity</w:t>
            </w:r>
          </w:p>
        </w:tc>
        <w:tc>
          <w:tcPr>
            <w:tcW w:type="dxa" w:w="2196"/>
            <w:shd w:val="clear" w:color="auto" w:fill="EEF2FF"/>
          </w:tcPr>
          <w:p>
            <w:r>
              <w:rPr>
                <w:sz w:val="18"/>
              </w:rPr>
              <w:t>Platform Observability</w:t>
            </w:r>
          </w:p>
        </w:tc>
        <w:tc>
          <w:tcPr>
            <w:tcW w:type="dxa" w:w="2196"/>
            <w:shd w:val="clear" w:color="auto" w:fill="EEF2FF"/>
          </w:tcPr>
          <w:p>
            <w:r>
              <w:rPr>
                <w:sz w:val="18"/>
              </w:rPr>
              <w:t>Published Language</w:t>
            </w:r>
          </w:p>
        </w:tc>
        <w:tc>
          <w:tcPr>
            <w:tcW w:type="dxa" w:w="2196"/>
            <w:shd w:val="clear" w:color="auto" w:fill="EEF2FF"/>
          </w:tcPr>
          <w:p>
            <w:r>
              <w:rPr>
                <w:sz w:val="18"/>
              </w:rPr>
              <w:t>Device health events</w:t>
            </w:r>
          </w:p>
        </w:tc>
      </w:tr>
      <w:tr>
        <w:tc>
          <w:tcPr>
            <w:tcW w:type="dxa" w:w="2196"/>
            <w:shd w:val="clear" w:color="auto" w:fill="FFFFFF"/>
          </w:tcPr>
          <w:p>
            <w:r>
              <w:rPr>
                <w:sz w:val="18"/>
              </w:rPr>
              <w:t>Device Connectivity</w:t>
            </w:r>
          </w:p>
        </w:tc>
        <w:tc>
          <w:tcPr>
            <w:tcW w:type="dxa" w:w="2196"/>
            <w:shd w:val="clear" w:color="auto" w:fill="FFFFFF"/>
          </w:tcPr>
          <w:p>
            <w:r>
              <w:rPr>
                <w:sz w:val="18"/>
              </w:rPr>
              <w:t>Device Identity &amp; Binding</w:t>
            </w:r>
          </w:p>
        </w:tc>
        <w:tc>
          <w:tcPr>
            <w:tcW w:type="dxa" w:w="2196"/>
            <w:shd w:val="clear" w:color="auto" w:fill="FFFFFF"/>
          </w:tcPr>
          <w:p>
            <w:r>
              <w:rPr>
                <w:sz w:val="18"/>
              </w:rPr>
              <w:t>Customer-Supplier</w:t>
            </w:r>
          </w:p>
        </w:tc>
        <w:tc>
          <w:tcPr>
            <w:tcW w:type="dxa" w:w="2196"/>
            <w:shd w:val="clear" w:color="auto" w:fill="FFFFFF"/>
          </w:tcPr>
          <w:p>
            <w:r>
              <w:rPr>
                <w:sz w:val="18"/>
              </w:rPr>
              <w:t>SerialNumber from packet</w:t>
            </w:r>
          </w:p>
        </w:tc>
      </w:tr>
      <w:tr>
        <w:tc>
          <w:tcPr>
            <w:tcW w:type="dxa" w:w="2196"/>
            <w:shd w:val="clear" w:color="auto" w:fill="EEF2FF"/>
          </w:tcPr>
          <w:p>
            <w:r>
              <w:rPr>
                <w:sz w:val="18"/>
              </w:rPr>
              <w:t>Device Identity &amp; Binding</w:t>
            </w:r>
          </w:p>
        </w:tc>
        <w:tc>
          <w:tcPr>
            <w:tcW w:type="dxa" w:w="2196"/>
            <w:shd w:val="clear" w:color="auto" w:fill="EEF2FF"/>
          </w:tcPr>
          <w:p>
            <w:r>
              <w:rPr>
                <w:sz w:val="18"/>
              </w:rPr>
              <w:t>EMR Integration Gateway</w:t>
            </w:r>
          </w:p>
        </w:tc>
        <w:tc>
          <w:tcPr>
            <w:tcW w:type="dxa" w:w="2196"/>
            <w:shd w:val="clear" w:color="auto" w:fill="EEF2FF"/>
          </w:tcPr>
          <w:p>
            <w:r>
              <w:rPr>
                <w:sz w:val="18"/>
              </w:rPr>
              <w:t>Customer-Supplier</w:t>
            </w:r>
          </w:p>
        </w:tc>
        <w:tc>
          <w:tcPr>
            <w:tcW w:type="dxa" w:w="2196"/>
            <w:shd w:val="clear" w:color="auto" w:fill="EEF2FF"/>
          </w:tcPr>
          <w:p>
            <w:r>
              <w:rPr>
                <w:sz w:val="18"/>
              </w:rPr>
              <w:t>DevicePatientToken</w:t>
            </w:r>
          </w:p>
        </w:tc>
      </w:tr>
      <w:tr>
        <w:tc>
          <w:tcPr>
            <w:tcW w:type="dxa" w:w="2196"/>
            <w:shd w:val="clear" w:color="auto" w:fill="FFFFFF"/>
          </w:tcPr>
          <w:p>
            <w:r>
              <w:rPr>
                <w:sz w:val="18"/>
              </w:rPr>
              <w:t>Signal Processing</w:t>
            </w:r>
          </w:p>
        </w:tc>
        <w:tc>
          <w:tcPr>
            <w:tcW w:type="dxa" w:w="2196"/>
            <w:shd w:val="clear" w:color="auto" w:fill="FFFFFF"/>
          </w:tcPr>
          <w:p>
            <w:r>
              <w:rPr>
                <w:sz w:val="18"/>
              </w:rPr>
              <w:t>Clinical Decision Support</w:t>
            </w:r>
          </w:p>
        </w:tc>
        <w:tc>
          <w:tcPr>
            <w:tcW w:type="dxa" w:w="2196"/>
            <w:shd w:val="clear" w:color="auto" w:fill="FFFFFF"/>
          </w:tcPr>
          <w:p>
            <w:r>
              <w:rPr>
                <w:sz w:val="18"/>
              </w:rPr>
              <w:t>Customer-Supplier</w:t>
            </w:r>
          </w:p>
        </w:tc>
        <w:tc>
          <w:tcPr>
            <w:tcW w:type="dxa" w:w="2196"/>
            <w:shd w:val="clear" w:color="auto" w:fill="FFFFFF"/>
          </w:tcPr>
          <w:p>
            <w:r>
              <w:rPr>
                <w:sz w:val="18"/>
              </w:rPr>
              <w:t>Derived metrics + baselines</w:t>
            </w:r>
          </w:p>
        </w:tc>
      </w:tr>
      <w:tr>
        <w:tc>
          <w:tcPr>
            <w:tcW w:type="dxa" w:w="2196"/>
            <w:shd w:val="clear" w:color="auto" w:fill="EEF2FF"/>
          </w:tcPr>
          <w:p>
            <w:r>
              <w:rPr>
                <w:sz w:val="18"/>
              </w:rPr>
              <w:t>Signal Processing</w:t>
            </w:r>
          </w:p>
        </w:tc>
        <w:tc>
          <w:tcPr>
            <w:tcW w:type="dxa" w:w="2196"/>
            <w:shd w:val="clear" w:color="auto" w:fill="EEF2FF"/>
          </w:tcPr>
          <w:p>
            <w:r>
              <w:rPr>
                <w:sz w:val="18"/>
              </w:rPr>
              <w:t>Patient Engagement</w:t>
            </w:r>
          </w:p>
        </w:tc>
        <w:tc>
          <w:tcPr>
            <w:tcW w:type="dxa" w:w="2196"/>
            <w:shd w:val="clear" w:color="auto" w:fill="EEF2FF"/>
          </w:tcPr>
          <w:p>
            <w:r>
              <w:rPr>
                <w:sz w:val="18"/>
              </w:rPr>
              <w:t>Customer-Supplier</w:t>
            </w:r>
          </w:p>
        </w:tc>
        <w:tc>
          <w:tcPr>
            <w:tcW w:type="dxa" w:w="2196"/>
            <w:shd w:val="clear" w:color="auto" w:fill="EEF2FF"/>
          </w:tcPr>
          <w:p>
            <w:r>
              <w:rPr>
                <w:sz w:val="18"/>
              </w:rPr>
              <w:t>Baseline + trend data</w:t>
            </w:r>
          </w:p>
        </w:tc>
      </w:tr>
      <w:tr>
        <w:tc>
          <w:tcPr>
            <w:tcW w:type="dxa" w:w="2196"/>
            <w:shd w:val="clear" w:color="auto" w:fill="FFFFFF"/>
          </w:tcPr>
          <w:p>
            <w:r>
              <w:rPr>
                <w:sz w:val="18"/>
              </w:rPr>
              <w:t>Signal Processing</w:t>
            </w:r>
          </w:p>
        </w:tc>
        <w:tc>
          <w:tcPr>
            <w:tcW w:type="dxa" w:w="2196"/>
            <w:shd w:val="clear" w:color="auto" w:fill="FFFFFF"/>
          </w:tcPr>
          <w:p>
            <w:r>
              <w:rPr>
                <w:sz w:val="18"/>
              </w:rPr>
              <w:t>Research Analytics</w:t>
            </w:r>
          </w:p>
        </w:tc>
        <w:tc>
          <w:tcPr>
            <w:tcW w:type="dxa" w:w="2196"/>
            <w:shd w:val="clear" w:color="auto" w:fill="FFFFFF"/>
          </w:tcPr>
          <w:p>
            <w:r>
              <w:rPr>
                <w:sz w:val="18"/>
              </w:rPr>
              <w:t>Open Host Service</w:t>
            </w:r>
          </w:p>
        </w:tc>
        <w:tc>
          <w:tcPr>
            <w:tcW w:type="dxa" w:w="2196"/>
            <w:shd w:val="clear" w:color="auto" w:fill="FFFFFF"/>
          </w:tcPr>
          <w:p>
            <w:r>
              <w:rPr>
                <w:sz w:val="18"/>
              </w:rPr>
              <w:t>Time-series API</w:t>
            </w:r>
          </w:p>
        </w:tc>
      </w:tr>
      <w:tr>
        <w:tc>
          <w:tcPr>
            <w:tcW w:type="dxa" w:w="2196"/>
            <w:shd w:val="clear" w:color="auto" w:fill="EEF2FF"/>
          </w:tcPr>
          <w:p>
            <w:r>
              <w:rPr>
                <w:sz w:val="18"/>
              </w:rPr>
              <w:t>Signal Processing</w:t>
            </w:r>
          </w:p>
        </w:tc>
        <w:tc>
          <w:tcPr>
            <w:tcW w:type="dxa" w:w="2196"/>
            <w:shd w:val="clear" w:color="auto" w:fill="EEF2FF"/>
          </w:tcPr>
          <w:p>
            <w:r>
              <w:rPr>
                <w:sz w:val="18"/>
              </w:rPr>
              <w:t>Population Health</w:t>
            </w:r>
          </w:p>
        </w:tc>
        <w:tc>
          <w:tcPr>
            <w:tcW w:type="dxa" w:w="2196"/>
            <w:shd w:val="clear" w:color="auto" w:fill="EEF2FF"/>
          </w:tcPr>
          <w:p>
            <w:r>
              <w:rPr>
                <w:sz w:val="18"/>
              </w:rPr>
              <w:t>Open Host Service</w:t>
            </w:r>
          </w:p>
        </w:tc>
        <w:tc>
          <w:tcPr>
            <w:tcW w:type="dxa" w:w="2196"/>
            <w:shd w:val="clear" w:color="auto" w:fill="EEF2FF"/>
          </w:tcPr>
          <w:p>
            <w:r>
              <w:rPr>
                <w:sz w:val="18"/>
              </w:rPr>
              <w:t>Aggregated signals</w:t>
            </w:r>
          </w:p>
        </w:tc>
      </w:tr>
      <w:tr>
        <w:tc>
          <w:tcPr>
            <w:tcW w:type="dxa" w:w="2196"/>
            <w:shd w:val="clear" w:color="auto" w:fill="FFFFFF"/>
          </w:tcPr>
          <w:p>
            <w:r>
              <w:rPr>
                <w:sz w:val="18"/>
              </w:rPr>
              <w:t>Signal Processing</w:t>
            </w:r>
          </w:p>
        </w:tc>
        <w:tc>
          <w:tcPr>
            <w:tcW w:type="dxa" w:w="2196"/>
            <w:shd w:val="clear" w:color="auto" w:fill="FFFFFF"/>
          </w:tcPr>
          <w:p>
            <w:r>
              <w:rPr>
                <w:sz w:val="18"/>
              </w:rPr>
              <w:t>Platform Observability</w:t>
            </w:r>
          </w:p>
        </w:tc>
        <w:tc>
          <w:tcPr>
            <w:tcW w:type="dxa" w:w="2196"/>
            <w:shd w:val="clear" w:color="auto" w:fill="FFFFFF"/>
          </w:tcPr>
          <w:p>
            <w:r>
              <w:rPr>
                <w:sz w:val="18"/>
              </w:rPr>
              <w:t>Customer-Supplier</w:t>
            </w:r>
          </w:p>
        </w:tc>
        <w:tc>
          <w:tcPr>
            <w:tcW w:type="dxa" w:w="2196"/>
            <w:shd w:val="clear" w:color="auto" w:fill="FFFFFF"/>
          </w:tcPr>
          <w:p>
            <w:r>
              <w:rPr>
                <w:sz w:val="18"/>
              </w:rPr>
              <w:t>Pipeline latency metrics</w:t>
            </w:r>
          </w:p>
        </w:tc>
      </w:tr>
      <w:tr>
        <w:tc>
          <w:tcPr>
            <w:tcW w:type="dxa" w:w="2196"/>
            <w:shd w:val="clear" w:color="auto" w:fill="EEF2FF"/>
          </w:tcPr>
          <w:p>
            <w:r>
              <w:rPr>
                <w:sz w:val="18"/>
              </w:rPr>
              <w:t>CDS</w:t>
            </w:r>
          </w:p>
        </w:tc>
        <w:tc>
          <w:tcPr>
            <w:tcW w:type="dxa" w:w="2196"/>
            <w:shd w:val="clear" w:color="auto" w:fill="EEF2FF"/>
          </w:tcPr>
          <w:p>
            <w:r>
              <w:rPr>
                <w:sz w:val="18"/>
              </w:rPr>
              <w:t>Care Coordination</w:t>
            </w:r>
          </w:p>
        </w:tc>
        <w:tc>
          <w:tcPr>
            <w:tcW w:type="dxa" w:w="2196"/>
            <w:shd w:val="clear" w:color="auto" w:fill="EEF2FF"/>
          </w:tcPr>
          <w:p>
            <w:r>
              <w:rPr>
                <w:sz w:val="18"/>
              </w:rPr>
              <w:t>Customer-Supplier</w:t>
            </w:r>
          </w:p>
        </w:tc>
        <w:tc>
          <w:tcPr>
            <w:tcW w:type="dxa" w:w="2196"/>
            <w:shd w:val="clear" w:color="auto" w:fill="EEF2FF"/>
          </w:tcPr>
          <w:p>
            <w:r>
              <w:rPr>
                <w:sz w:val="18"/>
              </w:rPr>
              <w:t>Risk scores + alerts</w:t>
            </w:r>
          </w:p>
        </w:tc>
      </w:tr>
      <w:tr>
        <w:tc>
          <w:tcPr>
            <w:tcW w:type="dxa" w:w="2196"/>
            <w:shd w:val="clear" w:color="auto" w:fill="FFFFFF"/>
          </w:tcPr>
          <w:p>
            <w:r>
              <w:rPr>
                <w:sz w:val="18"/>
              </w:rPr>
              <w:t>CDS</w:t>
            </w:r>
          </w:p>
        </w:tc>
        <w:tc>
          <w:tcPr>
            <w:tcW w:type="dxa" w:w="2196"/>
            <w:shd w:val="clear" w:color="auto" w:fill="FFFFFF"/>
          </w:tcPr>
          <w:p>
            <w:r>
              <w:rPr>
                <w:sz w:val="18"/>
              </w:rPr>
              <w:t>Patient Engagement</w:t>
            </w:r>
          </w:p>
        </w:tc>
        <w:tc>
          <w:tcPr>
            <w:tcW w:type="dxa" w:w="2196"/>
            <w:shd w:val="clear" w:color="auto" w:fill="FFFFFF"/>
          </w:tcPr>
          <w:p>
            <w:r>
              <w:rPr>
                <w:sz w:val="18"/>
              </w:rPr>
              <w:t>Customer-Supplier</w:t>
            </w:r>
          </w:p>
        </w:tc>
        <w:tc>
          <w:tcPr>
            <w:tcW w:type="dxa" w:w="2196"/>
            <w:shd w:val="clear" w:color="auto" w:fill="FFFFFF"/>
          </w:tcPr>
          <w:p>
            <w:r>
              <w:rPr>
                <w:sz w:val="18"/>
              </w:rPr>
              <w:t>Risk score + summary</w:t>
            </w:r>
          </w:p>
        </w:tc>
      </w:tr>
      <w:tr>
        <w:tc>
          <w:tcPr>
            <w:tcW w:type="dxa" w:w="2196"/>
            <w:shd w:val="clear" w:color="auto" w:fill="EEF2FF"/>
          </w:tcPr>
          <w:p>
            <w:r>
              <w:rPr>
                <w:sz w:val="18"/>
              </w:rPr>
              <w:t>Care Coordination</w:t>
            </w:r>
          </w:p>
        </w:tc>
        <w:tc>
          <w:tcPr>
            <w:tcW w:type="dxa" w:w="2196"/>
            <w:shd w:val="clear" w:color="auto" w:fill="EEF2FF"/>
          </w:tcPr>
          <w:p>
            <w:r>
              <w:rPr>
                <w:sz w:val="18"/>
              </w:rPr>
              <w:t>Population Health</w:t>
            </w:r>
          </w:p>
        </w:tc>
        <w:tc>
          <w:tcPr>
            <w:tcW w:type="dxa" w:w="2196"/>
            <w:shd w:val="clear" w:color="auto" w:fill="EEF2FF"/>
          </w:tcPr>
          <w:p>
            <w:r>
              <w:rPr>
                <w:sz w:val="18"/>
              </w:rPr>
              <w:t>Customer-Supplier</w:t>
            </w:r>
          </w:p>
        </w:tc>
        <w:tc>
          <w:tcPr>
            <w:tcW w:type="dxa" w:w="2196"/>
            <w:shd w:val="clear" w:color="auto" w:fill="EEF2FF"/>
          </w:tcPr>
          <w:p>
            <w:r>
              <w:rPr>
                <w:sz w:val="18"/>
              </w:rPr>
              <w:t>Panel + tasks</w:t>
            </w:r>
          </w:p>
        </w:tc>
      </w:tr>
      <w:tr>
        <w:tc>
          <w:tcPr>
            <w:tcW w:type="dxa" w:w="2196"/>
            <w:shd w:val="clear" w:color="auto" w:fill="FFFFFF"/>
          </w:tcPr>
          <w:p>
            <w:r>
              <w:rPr>
                <w:sz w:val="18"/>
              </w:rPr>
              <w:t>EMR Integration Gateway</w:t>
            </w:r>
          </w:p>
        </w:tc>
        <w:tc>
          <w:tcPr>
            <w:tcW w:type="dxa" w:w="2196"/>
            <w:shd w:val="clear" w:color="auto" w:fill="FFFFFF"/>
          </w:tcPr>
          <w:p>
            <w:r>
              <w:rPr>
                <w:sz w:val="18"/>
              </w:rPr>
              <w:t>Signal Processing / CDS / CC</w:t>
            </w:r>
          </w:p>
        </w:tc>
        <w:tc>
          <w:tcPr>
            <w:tcW w:type="dxa" w:w="2196"/>
            <w:shd w:val="clear" w:color="auto" w:fill="FFFFFF"/>
          </w:tcPr>
          <w:p>
            <w:r>
              <w:rPr>
                <w:sz w:val="18"/>
              </w:rPr>
              <w:t>ACL (Conformist)</w:t>
            </w:r>
          </w:p>
        </w:tc>
        <w:tc>
          <w:tcPr>
            <w:tcW w:type="dxa" w:w="2196"/>
            <w:shd w:val="clear" w:color="auto" w:fill="FFFFFF"/>
          </w:tcPr>
          <w:p>
            <w:r>
              <w:rPr>
                <w:sz w:val="18"/>
              </w:rPr>
              <w:t>PatientReference</w:t>
            </w:r>
          </w:p>
        </w:tc>
      </w:tr>
      <w:tr>
        <w:tc>
          <w:tcPr>
            <w:tcW w:type="dxa" w:w="2196"/>
            <w:shd w:val="clear" w:color="auto" w:fill="EEF2FF"/>
          </w:tcPr>
          <w:p>
            <w:r>
              <w:rPr>
                <w:sz w:val="18"/>
              </w:rPr>
              <w:t>External EMR</w:t>
            </w:r>
          </w:p>
        </w:tc>
        <w:tc>
          <w:tcPr>
            <w:tcW w:type="dxa" w:w="2196"/>
            <w:shd w:val="clear" w:color="auto" w:fill="EEF2FF"/>
          </w:tcPr>
          <w:p>
            <w:r>
              <w:rPr>
                <w:sz w:val="18"/>
              </w:rPr>
              <w:t>EMR Integration Gateway</w:t>
            </w:r>
          </w:p>
        </w:tc>
        <w:tc>
          <w:tcPr>
            <w:tcW w:type="dxa" w:w="2196"/>
            <w:shd w:val="clear" w:color="auto" w:fill="EEF2FF"/>
          </w:tcPr>
          <w:p>
            <w:r>
              <w:rPr>
                <w:sz w:val="18"/>
              </w:rPr>
              <w:t>SMART on FHIR</w:t>
            </w:r>
          </w:p>
        </w:tc>
        <w:tc>
          <w:tcPr>
            <w:tcW w:type="dxa" w:w="2196"/>
            <w:shd w:val="clear" w:color="auto" w:fill="EEF2FF"/>
          </w:tcPr>
          <w:p>
            <w:r>
              <w:rPr>
                <w:sz w:val="18"/>
              </w:rPr>
              <w:t>Launch context + PatientReference</w:t>
            </w:r>
          </w:p>
        </w:tc>
      </w:tr>
      <w:tr>
        <w:tc>
          <w:tcPr>
            <w:tcW w:type="dxa" w:w="2196"/>
            <w:shd w:val="clear" w:color="auto" w:fill="FFFFFF"/>
          </w:tcPr>
          <w:p>
            <w:r>
              <w:rPr>
                <w:sz w:val="18"/>
              </w:rPr>
              <w:t>All contexts</w:t>
            </w:r>
          </w:p>
        </w:tc>
        <w:tc>
          <w:tcPr>
            <w:tcW w:type="dxa" w:w="2196"/>
            <w:shd w:val="clear" w:color="auto" w:fill="FFFFFF"/>
          </w:tcPr>
          <w:p>
            <w:r>
              <w:rPr>
                <w:sz w:val="18"/>
              </w:rPr>
              <w:t>Audit &amp; Compliance</w:t>
            </w:r>
          </w:p>
        </w:tc>
        <w:tc>
          <w:tcPr>
            <w:tcW w:type="dxa" w:w="2196"/>
            <w:shd w:val="clear" w:color="auto" w:fill="FFFFFF"/>
          </w:tcPr>
          <w:p>
            <w:r>
              <w:rPr>
                <w:sz w:val="18"/>
              </w:rPr>
              <w:t>ACL → event stream</w:t>
            </w:r>
          </w:p>
        </w:tc>
        <w:tc>
          <w:tcPr>
            <w:tcW w:type="dxa" w:w="2196"/>
            <w:shd w:val="clear" w:color="auto" w:fill="FFFFFF"/>
          </w:tcPr>
          <w:p>
            <w:r>
              <w:rPr>
                <w:sz w:val="18"/>
              </w:rPr>
              <w:t>Domain events (immutable log)</w:t>
            </w:r>
          </w:p>
        </w:tc>
      </w:tr>
    </w:tbl>
    <w:p/>
    <w:p>
      <w:r>
        <w:br w:type="page"/>
      </w:r>
    </w:p>
    <w:p>
      <w:pPr>
        <w:pStyle w:val="Heading1"/>
      </w:pPr>
      <w:r>
        <w:rPr>
          <w:b/>
          <w:color w:val="1F3564"/>
        </w:rPr>
        <w:t>10. Data Flow</w:t>
      </w:r>
    </w:p>
    <w:p>
      <w:pPr>
        <w:pStyle w:val="Heading2"/>
      </w:pPr>
      <w:r>
        <w:rPr>
          <w:b/>
          <w:color w:val="1F3564"/>
        </w:rPr>
        <w:t>10.1 Signal Ingestion — Device to Insight</w:t>
      </w:r>
    </w:p>
    <w:p>
      <w:pPr>
        <w:spacing w:after="80"/>
      </w:pPr>
      <w:r>
        <w:rPr>
          <w:b/>
          <w:sz w:val="20"/>
        </w:rPr>
        <w:t xml:space="preserve">Step 1 — Device Transmission: </w:t>
      </w:r>
      <w:r>
        <w:rPr>
          <w:sz w:val="20"/>
        </w:rPr>
        <w:t>Wearable captures all active signals and transmits via BLE (local) or LTE (remote): SerialNumber + raw signal readings.</w:t>
      </w:r>
    </w:p>
    <w:p>
      <w:pPr>
        <w:spacing w:after="80"/>
      </w:pPr>
      <w:r>
        <w:rPr>
          <w:b/>
          <w:sz w:val="20"/>
        </w:rPr>
        <w:t xml:space="preserve">Step 2 — Device Connectivity: </w:t>
      </w:r>
      <w:r>
        <w:rPr>
          <w:sz w:val="20"/>
        </w:rPr>
        <w:t>Edge validates packet, rejects malformed, applies pre-processing, publishes validated event to Kafka.</w:t>
      </w:r>
    </w:p>
    <w:p>
      <w:pPr>
        <w:spacing w:after="80"/>
      </w:pPr>
      <w:r>
        <w:rPr>
          <w:b/>
          <w:sz w:val="20"/>
        </w:rPr>
        <w:t xml:space="preserve">Step 3 — Identity Resolution: </w:t>
      </w:r>
      <w:r>
        <w:rPr>
          <w:sz w:val="20"/>
        </w:rPr>
        <w:t>Lookup DevicePatientBinding by SerialNumber → DevicePatientToken. IEMRGateway.resolve_patient_from_token() returns PatientReference for pipeline.</w:t>
      </w:r>
    </w:p>
    <w:p>
      <w:pPr>
        <w:spacing w:after="80"/>
      </w:pPr>
      <w:r>
        <w:rPr>
          <w:b/>
          <w:sz w:val="20"/>
        </w:rPr>
        <w:t xml:space="preserve">Step 4 — Signal Processing: </w:t>
      </w:r>
      <w:r>
        <w:rPr>
          <w:sz w:val="20"/>
        </w:rPr>
        <w:t>Validates quality (≥0.6), computes DerivedMetrics (oxidative stress, hypoxia flag, tissue index, hemodynamic index, fever flag), updates patient baseline.</w:t>
      </w:r>
    </w:p>
    <w:p>
      <w:pPr>
        <w:spacing w:after="80"/>
      </w:pPr>
      <w:r>
        <w:rPr>
          <w:b/>
          <w:sz w:val="20"/>
        </w:rPr>
        <w:t xml:space="preserve">Step 5 — Clinical Decision Support: </w:t>
      </w:r>
      <w:r>
        <w:rPr>
          <w:sz w:val="20"/>
        </w:rPr>
        <w:t>On SignalObservationRecorded: evaluates risk factors, computes RiskScore (0–100), invokes Claude API for ClinicalSummary and SOAP draft.</w:t>
      </w:r>
    </w:p>
    <w:p>
      <w:pPr>
        <w:spacing w:after="80"/>
      </w:pPr>
      <w:r>
        <w:rPr>
          <w:b/>
          <w:sz w:val="20"/>
        </w:rPr>
        <w:t xml:space="preserve">Step 6 — Care Coordination: </w:t>
      </w:r>
      <w:r>
        <w:rPr>
          <w:sz w:val="20"/>
        </w:rPr>
        <w:t>On RiskAssessmentCompleted tier ≥ High: creates Escalation, pushes to care team queue inside EMR.</w:t>
      </w:r>
    </w:p>
    <w:p>
      <w:pPr>
        <w:spacing w:after="80"/>
      </w:pPr>
      <w:r>
        <w:rPr>
          <w:b/>
          <w:sz w:val="20"/>
        </w:rPr>
        <w:t xml:space="preserve">Step 7 — EMR Write-Back: </w:t>
      </w:r>
      <w:r>
        <w:rPr>
          <w:sz w:val="20"/>
        </w:rPr>
        <w:t>EMR Gateway writes RiskScore (FHIR Observation), summary (FHIR DocumentReference), SOAP draft (FHIR DocumentReference) to clinician EMR.</w:t>
      </w:r>
    </w:p>
    <w:p>
      <w:pPr>
        <w:spacing w:after="80"/>
      </w:pPr>
      <w:r>
        <w:rPr>
          <w:b/>
          <w:sz w:val="20"/>
        </w:rPr>
        <w:t xml:space="preserve">Step 8 — Audit: </w:t>
      </w:r>
      <w:r>
        <w:rPr>
          <w:sz w:val="20"/>
        </w:rPr>
        <w:t>Every domain event mirrored to immutable WORM log with OpenLineage lineage tracking.</w:t>
      </w:r>
    </w:p>
    <w:p/>
    <w:p>
      <w:pPr>
        <w:pStyle w:val="Heading2"/>
      </w:pPr>
      <w:r>
        <w:rPr>
          <w:b/>
          <w:color w:val="1F3564"/>
        </w:rPr>
        <w:t>10.2 Clinician Session Flow</w:t>
      </w:r>
    </w:p>
    <w:p>
      <w:pPr>
        <w:pStyle w:val="ListBullet"/>
        <w:spacing w:after="60"/>
      </w:pPr>
      <w:r>
        <w:rPr>
          <w:sz w:val="20"/>
        </w:rPr>
        <w:t>1. Clinician launches platform from Epic/Cerner → SMART on FHIR launch token received</w:t>
      </w:r>
    </w:p>
    <w:p>
      <w:pPr>
        <w:pStyle w:val="ListBullet"/>
        <w:spacing w:after="60"/>
      </w:pPr>
      <w:r>
        <w:rPr>
          <w:sz w:val="20"/>
        </w:rPr>
        <w:t>2. Correct adapter resolves PatientReference from launch token</w:t>
      </w:r>
    </w:p>
    <w:p>
      <w:pPr>
        <w:pStyle w:val="ListBullet"/>
        <w:spacing w:after="60"/>
      </w:pPr>
      <w:r>
        <w:rPr>
          <w:sz w:val="20"/>
        </w:rPr>
        <w:t>3. Clinician assigns device serial number to patient → DevicePatientBinding created</w:t>
      </w:r>
    </w:p>
    <w:p>
      <w:pPr>
        <w:pStyle w:val="ListBullet"/>
        <w:spacing w:after="60"/>
      </w:pPr>
      <w:r>
        <w:rPr>
          <w:sz w:val="20"/>
        </w:rPr>
        <w:t>4. Platform displays risk scores, signal trends, CDS summary inside EMR app (embedded)</w:t>
      </w:r>
    </w:p>
    <w:p>
      <w:pPr>
        <w:pStyle w:val="ListBullet"/>
        <w:spacing w:after="60"/>
      </w:pPr>
      <w:r>
        <w:rPr>
          <w:sz w:val="20"/>
        </w:rPr>
        <w:t>5. Clinician accepts SOAP draft → write_soap_draft() pushes DocumentReference to EMR chart</w:t>
      </w:r>
    </w:p>
    <w:p>
      <w:pPr>
        <w:pStyle w:val="ListBullet"/>
        <w:spacing w:after="60"/>
      </w:pPr>
      <w:r>
        <w:rPr>
          <w:sz w:val="20"/>
        </w:rPr>
        <w:t>6. Session expires → PatientSessionExpired event; PatientReference cleared from memory</w:t>
      </w:r>
    </w:p>
    <w:p/>
    <w:p>
      <w:pPr>
        <w:pStyle w:val="Heading2"/>
      </w:pPr>
      <w:r>
        <w:rPr>
          <w:b/>
          <w:color w:val="1F3564"/>
        </w:rPr>
        <w:t>10.3 Patient Data Boundary</w:t>
      </w:r>
    </w:p>
    <w:p>
      <w:pPr>
        <w:spacing w:after="120"/>
      </w:pPr>
      <w:r>
        <w:rPr>
          <w:b/>
          <w:i w:val="0"/>
          <w:color w:val="C00000"/>
          <w:sz w:val="20"/>
        </w:rPr>
        <w:t>The following is NEVER written to any platform database:</w:t>
      </w:r>
    </w:p>
    <w:p>
      <w:pPr>
        <w:pStyle w:val="ListBullet"/>
        <w:spacing w:after="60"/>
      </w:pPr>
      <w:r>
        <w:rPr>
          <w:sz w:val="20"/>
        </w:rPr>
        <w:t>Patient name, date of birth, address, or any demographic</w:t>
      </w:r>
    </w:p>
    <w:p>
      <w:pPr>
        <w:pStyle w:val="ListBullet"/>
        <w:spacing w:after="60"/>
      </w:pPr>
      <w:r>
        <w:rPr>
          <w:sz w:val="20"/>
        </w:rPr>
        <w:t>Medical Record Number (MRN) in any form</w:t>
      </w:r>
    </w:p>
    <w:p>
      <w:pPr>
        <w:pStyle w:val="ListBullet"/>
        <w:spacing w:after="60"/>
      </w:pPr>
      <w:r>
        <w:rPr>
          <w:sz w:val="20"/>
        </w:rPr>
        <w:t>Insurance or billing information</w:t>
      </w:r>
    </w:p>
    <w:p>
      <w:pPr>
        <w:pStyle w:val="ListBullet"/>
        <w:spacing w:after="60"/>
      </w:pPr>
      <w:r>
        <w:rPr>
          <w:sz w:val="20"/>
        </w:rPr>
        <w:t>Existing diagnoses, medication list, or clinical history</w:t>
      </w:r>
    </w:p>
    <w:p>
      <w:pPr>
        <w:pStyle w:val="ListBullet"/>
        <w:spacing w:after="60"/>
      </w:pPr>
      <w:r>
        <w:rPr>
          <w:sz w:val="20"/>
        </w:rPr>
        <w:t>Raw FHIR Patient ID (only the one-way HMAC token is stored)</w:t>
      </w:r>
    </w:p>
    <w:p/>
    <w:p>
      <w:r>
        <w:br w:type="page"/>
      </w:r>
    </w:p>
    <w:p>
      <w:pPr>
        <w:pStyle w:val="Heading1"/>
      </w:pPr>
      <w:r>
        <w:rPr>
          <w:b/>
          <w:color w:val="1F3564"/>
        </w:rPr>
        <w:t>11. Technology Stack &amp; Options</w:t>
      </w:r>
    </w:p>
    <w:p>
      <w:pPr>
        <w:spacing w:after="120"/>
      </w:pPr>
      <w:r>
        <w:rPr>
          <w:b w:val="0"/>
          <w:i w:val="0"/>
          <w:color w:val="000000"/>
          <w:sz w:val="20"/>
        </w:rPr>
        <w:t>The table below presents the recommended technology choice for each component alongside evaluated alternatives, so delivery teams can make informed selection decisions based on existing skills and infrastructure.</w:t>
      </w:r>
    </w:p>
    <w:p>
      <w:pPr>
        <w:pStyle w:val="Heading2"/>
      </w:pPr>
      <w:r>
        <w:rPr>
          <w:b/>
          <w:color w:val="1F3564"/>
        </w:rPr>
        <w:t>11.1 Core Platform Stack</w:t>
      </w:r>
    </w:p>
    <w:tbl>
      <w:tblPr>
        <w:tblStyle w:val="TableGrid"/>
        <w:tblW w:type="auto" w:w="0"/>
        <w:jc w:val="left"/>
        <w:tblLook w:firstColumn="1" w:firstRow="1" w:lastColumn="0" w:lastRow="0" w:noHBand="0" w:noVBand="1" w:val="04A0"/>
      </w:tblPr>
      <w:tblGrid>
        <w:gridCol w:w="1464"/>
        <w:gridCol w:w="1464"/>
        <w:gridCol w:w="1464"/>
        <w:gridCol w:w="1464"/>
        <w:gridCol w:w="1464"/>
        <w:gridCol w:w="1464"/>
      </w:tblGrid>
      <w:tr>
        <w:tc>
          <w:tcPr>
            <w:tcW w:type="dxa" w:w="1464"/>
            <w:shd w:val="clear" w:color="auto" w:fill="1F3564"/>
          </w:tcPr>
          <w:p>
            <w:r>
              <w:rPr>
                <w:b/>
                <w:color w:val="FFFFFF"/>
                <w:sz w:val="18"/>
              </w:rPr>
              <w:t>Layer</w:t>
            </w:r>
          </w:p>
        </w:tc>
        <w:tc>
          <w:tcPr>
            <w:tcW w:type="dxa" w:w="1464"/>
            <w:shd w:val="clear" w:color="auto" w:fill="1F3564"/>
          </w:tcPr>
          <w:p>
            <w:r>
              <w:rPr>
                <w:b/>
                <w:color w:val="FFFFFF"/>
                <w:sz w:val="18"/>
              </w:rPr>
              <w:t>Component</w:t>
            </w:r>
          </w:p>
        </w:tc>
        <w:tc>
          <w:tcPr>
            <w:tcW w:type="dxa" w:w="1464"/>
            <w:shd w:val="clear" w:color="auto" w:fill="1F3564"/>
          </w:tcPr>
          <w:p>
            <w:r>
              <w:rPr>
                <w:b/>
                <w:color w:val="FFFFFF"/>
                <w:sz w:val="18"/>
              </w:rPr>
              <w:t>Recommended</w:t>
            </w:r>
          </w:p>
        </w:tc>
        <w:tc>
          <w:tcPr>
            <w:tcW w:type="dxa" w:w="1464"/>
            <w:shd w:val="clear" w:color="auto" w:fill="1F3564"/>
          </w:tcPr>
          <w:p>
            <w:r>
              <w:rPr>
                <w:b/>
                <w:color w:val="FFFFFF"/>
                <w:sz w:val="18"/>
              </w:rPr>
              <w:t>AWS Alternative</w:t>
            </w:r>
          </w:p>
        </w:tc>
        <w:tc>
          <w:tcPr>
            <w:tcW w:type="dxa" w:w="1464"/>
            <w:shd w:val="clear" w:color="auto" w:fill="1F3564"/>
          </w:tcPr>
          <w:p>
            <w:r>
              <w:rPr>
                <w:b/>
                <w:color w:val="FFFFFF"/>
                <w:sz w:val="18"/>
              </w:rPr>
              <w:t>Azure Alternative</w:t>
            </w:r>
          </w:p>
        </w:tc>
        <w:tc>
          <w:tcPr>
            <w:tcW w:type="dxa" w:w="1464"/>
            <w:shd w:val="clear" w:color="auto" w:fill="1F3564"/>
          </w:tcPr>
          <w:p>
            <w:r>
              <w:rPr>
                <w:b/>
                <w:color w:val="FFFFFF"/>
                <w:sz w:val="18"/>
              </w:rPr>
              <w:t>OSS / Vendor-Neutral</w:t>
            </w:r>
          </w:p>
        </w:tc>
      </w:tr>
      <w:tr>
        <w:tc>
          <w:tcPr>
            <w:tcW w:type="dxa" w:w="1464"/>
            <w:shd w:val="clear" w:color="auto" w:fill="FFFFFF"/>
          </w:tcPr>
          <w:p>
            <w:r>
              <w:rPr>
                <w:sz w:val="18"/>
              </w:rPr>
              <w:t>Device Edge</w:t>
            </w:r>
          </w:p>
        </w:tc>
        <w:tc>
          <w:tcPr>
            <w:tcW w:type="dxa" w:w="1464"/>
            <w:shd w:val="clear" w:color="auto" w:fill="FFFFFF"/>
          </w:tcPr>
          <w:p>
            <w:r>
              <w:rPr>
                <w:sz w:val="18"/>
              </w:rPr>
              <w:t>Edge gateway</w:t>
            </w:r>
          </w:p>
        </w:tc>
        <w:tc>
          <w:tcPr>
            <w:tcW w:type="dxa" w:w="1464"/>
            <w:shd w:val="clear" w:color="auto" w:fill="FFFFFF"/>
          </w:tcPr>
          <w:p>
            <w:r>
              <w:rPr>
                <w:sz w:val="18"/>
              </w:rPr>
              <w:t>AWS IoT Greengrass</w:t>
            </w:r>
          </w:p>
        </w:tc>
        <w:tc>
          <w:tcPr>
            <w:tcW w:type="dxa" w:w="1464"/>
            <w:shd w:val="clear" w:color="auto" w:fill="FFFFFF"/>
          </w:tcPr>
          <w:p>
            <w:r>
              <w:rPr>
                <w:sz w:val="18"/>
              </w:rPr>
              <w:t>—</w:t>
            </w:r>
          </w:p>
        </w:tc>
        <w:tc>
          <w:tcPr>
            <w:tcW w:type="dxa" w:w="1464"/>
            <w:shd w:val="clear" w:color="auto" w:fill="FFFFFF"/>
          </w:tcPr>
          <w:p>
            <w:r>
              <w:rPr>
                <w:sz w:val="18"/>
              </w:rPr>
              <w:t>Azure IoT Edge</w:t>
            </w:r>
          </w:p>
        </w:tc>
        <w:tc>
          <w:tcPr>
            <w:tcW w:type="dxa" w:w="1464"/>
            <w:shd w:val="clear" w:color="auto" w:fill="FFFFFF"/>
          </w:tcPr>
          <w:p>
            <w:r>
              <w:rPr>
                <w:sz w:val="18"/>
              </w:rPr>
              <w:t>K3s + custom agent</w:t>
            </w:r>
          </w:p>
        </w:tc>
      </w:tr>
      <w:tr>
        <w:tc>
          <w:tcPr>
            <w:tcW w:type="dxa" w:w="1464"/>
            <w:shd w:val="clear" w:color="auto" w:fill="EEF2FF"/>
          </w:tcPr>
          <w:p>
            <w:r>
              <w:rPr>
                <w:sz w:val="18"/>
              </w:rPr>
              <w:t>Device Edge</w:t>
            </w:r>
          </w:p>
        </w:tc>
        <w:tc>
          <w:tcPr>
            <w:tcW w:type="dxa" w:w="1464"/>
            <w:shd w:val="clear" w:color="auto" w:fill="EEF2FF"/>
          </w:tcPr>
          <w:p>
            <w:r>
              <w:rPr>
                <w:sz w:val="18"/>
              </w:rPr>
              <w:t>Device registry</w:t>
            </w:r>
          </w:p>
        </w:tc>
        <w:tc>
          <w:tcPr>
            <w:tcW w:type="dxa" w:w="1464"/>
            <w:shd w:val="clear" w:color="auto" w:fill="EEF2FF"/>
          </w:tcPr>
          <w:p>
            <w:r>
              <w:rPr>
                <w:sz w:val="18"/>
              </w:rPr>
              <w:t>AWS IoT Core</w:t>
            </w:r>
          </w:p>
        </w:tc>
        <w:tc>
          <w:tcPr>
            <w:tcW w:type="dxa" w:w="1464"/>
            <w:shd w:val="clear" w:color="auto" w:fill="EEF2FF"/>
          </w:tcPr>
          <w:p>
            <w:r>
              <w:rPr>
                <w:sz w:val="18"/>
              </w:rPr>
              <w:t>—</w:t>
            </w:r>
          </w:p>
        </w:tc>
        <w:tc>
          <w:tcPr>
            <w:tcW w:type="dxa" w:w="1464"/>
            <w:shd w:val="clear" w:color="auto" w:fill="EEF2FF"/>
          </w:tcPr>
          <w:p>
            <w:r>
              <w:rPr>
                <w:sz w:val="18"/>
              </w:rPr>
              <w:t>Azure IoT Hub</w:t>
            </w:r>
          </w:p>
        </w:tc>
        <w:tc>
          <w:tcPr>
            <w:tcW w:type="dxa" w:w="1464"/>
            <w:shd w:val="clear" w:color="auto" w:fill="EEF2FF"/>
          </w:tcPr>
          <w:p>
            <w:r>
              <w:rPr>
                <w:sz w:val="18"/>
              </w:rPr>
              <w:t>Eclipse Mosquitto + PostgreSQL</w:t>
            </w:r>
          </w:p>
        </w:tc>
      </w:tr>
      <w:tr>
        <w:tc>
          <w:tcPr>
            <w:tcW w:type="dxa" w:w="1464"/>
            <w:shd w:val="clear" w:color="auto" w:fill="FFFFFF"/>
          </w:tcPr>
          <w:p>
            <w:r>
              <w:rPr>
                <w:sz w:val="18"/>
              </w:rPr>
              <w:t>Event Bus</w:t>
            </w:r>
          </w:p>
        </w:tc>
        <w:tc>
          <w:tcPr>
            <w:tcW w:type="dxa" w:w="1464"/>
            <w:shd w:val="clear" w:color="auto" w:fill="FFFFFF"/>
          </w:tcPr>
          <w:p>
            <w:r>
              <w:rPr>
                <w:sz w:val="18"/>
              </w:rPr>
              <w:t>Message streaming</w:t>
            </w:r>
          </w:p>
        </w:tc>
        <w:tc>
          <w:tcPr>
            <w:tcW w:type="dxa" w:w="1464"/>
            <w:shd w:val="clear" w:color="auto" w:fill="FFFFFF"/>
          </w:tcPr>
          <w:p>
            <w:r>
              <w:rPr>
                <w:sz w:val="18"/>
              </w:rPr>
              <w:t>Apache Kafka (MSK)</w:t>
            </w:r>
          </w:p>
        </w:tc>
        <w:tc>
          <w:tcPr>
            <w:tcW w:type="dxa" w:w="1464"/>
            <w:shd w:val="clear" w:color="auto" w:fill="FFFFFF"/>
          </w:tcPr>
          <w:p>
            <w:r>
              <w:rPr>
                <w:sz w:val="18"/>
              </w:rPr>
              <w:t>Amazon Kinesis</w:t>
            </w:r>
          </w:p>
        </w:tc>
        <w:tc>
          <w:tcPr>
            <w:tcW w:type="dxa" w:w="1464"/>
            <w:shd w:val="clear" w:color="auto" w:fill="FFFFFF"/>
          </w:tcPr>
          <w:p>
            <w:r>
              <w:rPr>
                <w:sz w:val="18"/>
              </w:rPr>
              <w:t>Azure Event Hubs</w:t>
            </w:r>
          </w:p>
        </w:tc>
        <w:tc>
          <w:tcPr>
            <w:tcW w:type="dxa" w:w="1464"/>
            <w:shd w:val="clear" w:color="auto" w:fill="FFFFFF"/>
          </w:tcPr>
          <w:p>
            <w:r>
              <w:rPr>
                <w:sz w:val="18"/>
              </w:rPr>
              <w:t>Apache Kafka (self-managed)</w:t>
            </w:r>
          </w:p>
        </w:tc>
      </w:tr>
      <w:tr>
        <w:tc>
          <w:tcPr>
            <w:tcW w:type="dxa" w:w="1464"/>
            <w:shd w:val="clear" w:color="auto" w:fill="EEF2FF"/>
          </w:tcPr>
          <w:p>
            <w:r>
              <w:rPr>
                <w:sz w:val="18"/>
              </w:rPr>
              <w:t>Signal Processing</w:t>
            </w:r>
          </w:p>
        </w:tc>
        <w:tc>
          <w:tcPr>
            <w:tcW w:type="dxa" w:w="1464"/>
            <w:shd w:val="clear" w:color="auto" w:fill="EEF2FF"/>
          </w:tcPr>
          <w:p>
            <w:r>
              <w:rPr>
                <w:sz w:val="18"/>
              </w:rPr>
              <w:t>Time-series store</w:t>
            </w:r>
          </w:p>
        </w:tc>
        <w:tc>
          <w:tcPr>
            <w:tcW w:type="dxa" w:w="1464"/>
            <w:shd w:val="clear" w:color="auto" w:fill="EEF2FF"/>
          </w:tcPr>
          <w:p>
            <w:r>
              <w:rPr>
                <w:sz w:val="18"/>
              </w:rPr>
              <w:t>InfluxDB</w:t>
            </w:r>
          </w:p>
        </w:tc>
        <w:tc>
          <w:tcPr>
            <w:tcW w:type="dxa" w:w="1464"/>
            <w:shd w:val="clear" w:color="auto" w:fill="EEF2FF"/>
          </w:tcPr>
          <w:p>
            <w:r>
              <w:rPr>
                <w:sz w:val="18"/>
              </w:rPr>
              <w:t>Amazon Timestream</w:t>
            </w:r>
          </w:p>
        </w:tc>
        <w:tc>
          <w:tcPr>
            <w:tcW w:type="dxa" w:w="1464"/>
            <w:shd w:val="clear" w:color="auto" w:fill="EEF2FF"/>
          </w:tcPr>
          <w:p>
            <w:r>
              <w:rPr>
                <w:sz w:val="18"/>
              </w:rPr>
              <w:t>Azure Data Explorer</w:t>
            </w:r>
          </w:p>
        </w:tc>
        <w:tc>
          <w:tcPr>
            <w:tcW w:type="dxa" w:w="1464"/>
            <w:shd w:val="clear" w:color="auto" w:fill="EEF2FF"/>
          </w:tcPr>
          <w:p>
            <w:r>
              <w:rPr>
                <w:sz w:val="18"/>
              </w:rPr>
              <w:t>TimescaleDB (PostgreSQL ext)</w:t>
            </w:r>
          </w:p>
        </w:tc>
      </w:tr>
      <w:tr>
        <w:tc>
          <w:tcPr>
            <w:tcW w:type="dxa" w:w="1464"/>
            <w:shd w:val="clear" w:color="auto" w:fill="FFFFFF"/>
          </w:tcPr>
          <w:p>
            <w:r>
              <w:rPr>
                <w:sz w:val="18"/>
              </w:rPr>
              <w:t>Signal Processing</w:t>
            </w:r>
          </w:p>
        </w:tc>
        <w:tc>
          <w:tcPr>
            <w:tcW w:type="dxa" w:w="1464"/>
            <w:shd w:val="clear" w:color="auto" w:fill="FFFFFF"/>
          </w:tcPr>
          <w:p>
            <w:r>
              <w:rPr>
                <w:sz w:val="18"/>
              </w:rPr>
              <w:t>Baseline engine</w:t>
            </w:r>
          </w:p>
        </w:tc>
        <w:tc>
          <w:tcPr>
            <w:tcW w:type="dxa" w:w="1464"/>
            <w:shd w:val="clear" w:color="auto" w:fill="FFFFFF"/>
          </w:tcPr>
          <w:p>
            <w:r>
              <w:rPr>
                <w:sz w:val="18"/>
              </w:rPr>
              <w:t>Redis</w:t>
            </w:r>
          </w:p>
        </w:tc>
        <w:tc>
          <w:tcPr>
            <w:tcW w:type="dxa" w:w="1464"/>
            <w:shd w:val="clear" w:color="auto" w:fill="FFFFFF"/>
          </w:tcPr>
          <w:p>
            <w:r>
              <w:rPr>
                <w:sz w:val="18"/>
              </w:rPr>
              <w:t>ElastiCache</w:t>
            </w:r>
          </w:p>
        </w:tc>
        <w:tc>
          <w:tcPr>
            <w:tcW w:type="dxa" w:w="1464"/>
            <w:shd w:val="clear" w:color="auto" w:fill="FFFFFF"/>
          </w:tcPr>
          <w:p>
            <w:r>
              <w:rPr>
                <w:sz w:val="18"/>
              </w:rPr>
              <w:t>Azure Cache for Redis</w:t>
            </w:r>
          </w:p>
        </w:tc>
        <w:tc>
          <w:tcPr>
            <w:tcW w:type="dxa" w:w="1464"/>
            <w:shd w:val="clear" w:color="auto" w:fill="FFFFFF"/>
          </w:tcPr>
          <w:p>
            <w:r>
              <w:rPr>
                <w:sz w:val="18"/>
              </w:rPr>
              <w:t>Redis OSS</w:t>
            </w:r>
          </w:p>
        </w:tc>
      </w:tr>
      <w:tr>
        <w:tc>
          <w:tcPr>
            <w:tcW w:type="dxa" w:w="1464"/>
            <w:shd w:val="clear" w:color="auto" w:fill="EEF2FF"/>
          </w:tcPr>
          <w:p>
            <w:r>
              <w:rPr>
                <w:sz w:val="18"/>
              </w:rPr>
              <w:t>Signal Processing</w:t>
            </w:r>
          </w:p>
        </w:tc>
        <w:tc>
          <w:tcPr>
            <w:tcW w:type="dxa" w:w="1464"/>
            <w:shd w:val="clear" w:color="auto" w:fill="EEF2FF"/>
          </w:tcPr>
          <w:p>
            <w:r>
              <w:rPr>
                <w:sz w:val="18"/>
              </w:rPr>
              <w:t>Compute</w:t>
            </w:r>
          </w:p>
        </w:tc>
        <w:tc>
          <w:tcPr>
            <w:tcW w:type="dxa" w:w="1464"/>
            <w:shd w:val="clear" w:color="auto" w:fill="EEF2FF"/>
          </w:tcPr>
          <w:p>
            <w:r>
              <w:rPr>
                <w:sz w:val="18"/>
              </w:rPr>
              <w:t>Python microservices</w:t>
            </w:r>
          </w:p>
        </w:tc>
        <w:tc>
          <w:tcPr>
            <w:tcW w:type="dxa" w:w="1464"/>
            <w:shd w:val="clear" w:color="auto" w:fill="EEF2FF"/>
          </w:tcPr>
          <w:p>
            <w:r>
              <w:rPr>
                <w:sz w:val="18"/>
              </w:rPr>
              <w:t>AWS Lambda (burst)</w:t>
            </w:r>
          </w:p>
        </w:tc>
        <w:tc>
          <w:tcPr>
            <w:tcW w:type="dxa" w:w="1464"/>
            <w:shd w:val="clear" w:color="auto" w:fill="EEF2FF"/>
          </w:tcPr>
          <w:p>
            <w:r>
              <w:rPr>
                <w:sz w:val="18"/>
              </w:rPr>
              <w:t>Azure Functions (burst)</w:t>
            </w:r>
          </w:p>
        </w:tc>
        <w:tc>
          <w:tcPr>
            <w:tcW w:type="dxa" w:w="1464"/>
            <w:shd w:val="clear" w:color="auto" w:fill="EEF2FF"/>
          </w:tcPr>
          <w:p>
            <w:r>
              <w:rPr>
                <w:sz w:val="18"/>
              </w:rPr>
              <w:t>Docker + Kubernetes</w:t>
            </w:r>
          </w:p>
        </w:tc>
      </w:tr>
      <w:tr>
        <w:tc>
          <w:tcPr>
            <w:tcW w:type="dxa" w:w="1464"/>
            <w:shd w:val="clear" w:color="auto" w:fill="FFFFFF"/>
          </w:tcPr>
          <w:p>
            <w:r>
              <w:rPr>
                <w:sz w:val="18"/>
              </w:rPr>
              <w:t>CDS — ML</w:t>
            </w:r>
          </w:p>
        </w:tc>
        <w:tc>
          <w:tcPr>
            <w:tcW w:type="dxa" w:w="1464"/>
            <w:shd w:val="clear" w:color="auto" w:fill="FFFFFF"/>
          </w:tcPr>
          <w:p>
            <w:r>
              <w:rPr>
                <w:sz w:val="18"/>
              </w:rPr>
              <w:t>Model training + serving</w:t>
            </w:r>
          </w:p>
        </w:tc>
        <w:tc>
          <w:tcPr>
            <w:tcW w:type="dxa" w:w="1464"/>
            <w:shd w:val="clear" w:color="auto" w:fill="FFFFFF"/>
          </w:tcPr>
          <w:p>
            <w:r>
              <w:rPr>
                <w:sz w:val="18"/>
              </w:rPr>
              <w:t>MLflow + SageMaker</w:t>
            </w:r>
          </w:p>
        </w:tc>
        <w:tc>
          <w:tcPr>
            <w:tcW w:type="dxa" w:w="1464"/>
            <w:shd w:val="clear" w:color="auto" w:fill="FFFFFF"/>
          </w:tcPr>
          <w:p>
            <w:r>
              <w:rPr>
                <w:sz w:val="18"/>
              </w:rPr>
              <w:t>SageMaker Autopilot</w:t>
            </w:r>
          </w:p>
        </w:tc>
        <w:tc>
          <w:tcPr>
            <w:tcW w:type="dxa" w:w="1464"/>
            <w:shd w:val="clear" w:color="auto" w:fill="FFFFFF"/>
          </w:tcPr>
          <w:p>
            <w:r>
              <w:rPr>
                <w:sz w:val="18"/>
              </w:rPr>
              <w:t>Azure ML</w:t>
            </w:r>
          </w:p>
        </w:tc>
        <w:tc>
          <w:tcPr>
            <w:tcW w:type="dxa" w:w="1464"/>
            <w:shd w:val="clear" w:color="auto" w:fill="FFFFFF"/>
          </w:tcPr>
          <w:p>
            <w:r>
              <w:rPr>
                <w:sz w:val="18"/>
              </w:rPr>
              <w:t>MLflow + Seldon Core (K8s)</w:t>
            </w:r>
          </w:p>
        </w:tc>
      </w:tr>
      <w:tr>
        <w:tc>
          <w:tcPr>
            <w:tcW w:type="dxa" w:w="1464"/>
            <w:shd w:val="clear" w:color="auto" w:fill="EEF2FF"/>
          </w:tcPr>
          <w:p>
            <w:r>
              <w:rPr>
                <w:sz w:val="18"/>
              </w:rPr>
              <w:t>CDS — LLM</w:t>
            </w:r>
          </w:p>
        </w:tc>
        <w:tc>
          <w:tcPr>
            <w:tcW w:type="dxa" w:w="1464"/>
            <w:shd w:val="clear" w:color="auto" w:fill="EEF2FF"/>
          </w:tcPr>
          <w:p>
            <w:r>
              <w:rPr>
                <w:sz w:val="18"/>
              </w:rPr>
              <w:t>Clinical summaries</w:t>
            </w:r>
          </w:p>
        </w:tc>
        <w:tc>
          <w:tcPr>
            <w:tcW w:type="dxa" w:w="1464"/>
            <w:shd w:val="clear" w:color="auto" w:fill="EEF2FF"/>
          </w:tcPr>
          <w:p>
            <w:r>
              <w:rPr>
                <w:sz w:val="18"/>
              </w:rPr>
              <w:t>Claude API (Sonnet/Haiku)</w:t>
            </w:r>
          </w:p>
        </w:tc>
        <w:tc>
          <w:tcPr>
            <w:tcW w:type="dxa" w:w="1464"/>
            <w:shd w:val="clear" w:color="auto" w:fill="EEF2FF"/>
          </w:tcPr>
          <w:p>
            <w:r>
              <w:rPr>
                <w:sz w:val="18"/>
              </w:rPr>
              <w:t>Amazon Bedrock (Claude)</w:t>
            </w:r>
          </w:p>
        </w:tc>
        <w:tc>
          <w:tcPr>
            <w:tcW w:type="dxa" w:w="1464"/>
            <w:shd w:val="clear" w:color="auto" w:fill="EEF2FF"/>
          </w:tcPr>
          <w:p>
            <w:r>
              <w:rPr>
                <w:sz w:val="18"/>
              </w:rPr>
              <w:t>Azure AI (Claude)</w:t>
            </w:r>
          </w:p>
        </w:tc>
        <w:tc>
          <w:tcPr>
            <w:tcW w:type="dxa" w:w="1464"/>
            <w:shd w:val="clear" w:color="auto" w:fill="EEF2FF"/>
          </w:tcPr>
          <w:p>
            <w:r>
              <w:rPr>
                <w:sz w:val="18"/>
              </w:rPr>
              <w:t>Ollama (self-hosted, non-clinical use)</w:t>
            </w:r>
          </w:p>
        </w:tc>
      </w:tr>
      <w:tr>
        <w:tc>
          <w:tcPr>
            <w:tcW w:type="dxa" w:w="1464"/>
            <w:shd w:val="clear" w:color="auto" w:fill="FFFFFF"/>
          </w:tcPr>
          <w:p>
            <w:r>
              <w:rPr>
                <w:sz w:val="18"/>
              </w:rPr>
              <w:t>CDS — Anomaly</w:t>
            </w:r>
          </w:p>
        </w:tc>
        <w:tc>
          <w:tcPr>
            <w:tcW w:type="dxa" w:w="1464"/>
            <w:shd w:val="clear" w:color="auto" w:fill="FFFFFF"/>
          </w:tcPr>
          <w:p>
            <w:r>
              <w:rPr>
                <w:sz w:val="18"/>
              </w:rPr>
              <w:t>Anomaly detection</w:t>
            </w:r>
          </w:p>
        </w:tc>
        <w:tc>
          <w:tcPr>
            <w:tcW w:type="dxa" w:w="1464"/>
            <w:shd w:val="clear" w:color="auto" w:fill="FFFFFF"/>
          </w:tcPr>
          <w:p>
            <w:r>
              <w:rPr>
                <w:sz w:val="18"/>
              </w:rPr>
              <w:t>Isolation Forest</w:t>
            </w:r>
          </w:p>
        </w:tc>
        <w:tc>
          <w:tcPr>
            <w:tcW w:type="dxa" w:w="1464"/>
            <w:shd w:val="clear" w:color="auto" w:fill="FFFFFF"/>
          </w:tcPr>
          <w:p>
            <w:r>
              <w:rPr>
                <w:sz w:val="18"/>
              </w:rPr>
              <w:t>SageMaker built-in</w:t>
            </w:r>
          </w:p>
        </w:tc>
        <w:tc>
          <w:tcPr>
            <w:tcW w:type="dxa" w:w="1464"/>
            <w:shd w:val="clear" w:color="auto" w:fill="FFFFFF"/>
          </w:tcPr>
          <w:p>
            <w:r>
              <w:rPr>
                <w:sz w:val="18"/>
              </w:rPr>
              <w:t>Azure ML Anomaly Detector</w:t>
            </w:r>
          </w:p>
        </w:tc>
        <w:tc>
          <w:tcPr>
            <w:tcW w:type="dxa" w:w="1464"/>
            <w:shd w:val="clear" w:color="auto" w:fill="FFFFFF"/>
          </w:tcPr>
          <w:p>
            <w:r>
              <w:rPr>
                <w:sz w:val="18"/>
              </w:rPr>
              <w:t>PyOD library</w:t>
            </w:r>
          </w:p>
        </w:tc>
      </w:tr>
      <w:tr>
        <w:tc>
          <w:tcPr>
            <w:tcW w:type="dxa" w:w="1464"/>
            <w:shd w:val="clear" w:color="auto" w:fill="EEF2FF"/>
          </w:tcPr>
          <w:p>
            <w:r>
              <w:rPr>
                <w:sz w:val="18"/>
              </w:rPr>
              <w:t>Identity &amp; Binding</w:t>
            </w:r>
          </w:p>
        </w:tc>
        <w:tc>
          <w:tcPr>
            <w:tcW w:type="dxa" w:w="1464"/>
            <w:shd w:val="clear" w:color="auto" w:fill="EEF2FF"/>
          </w:tcPr>
          <w:p>
            <w:r>
              <w:rPr>
                <w:sz w:val="18"/>
              </w:rPr>
              <w:t>Binding store</w:t>
            </w:r>
          </w:p>
        </w:tc>
        <w:tc>
          <w:tcPr>
            <w:tcW w:type="dxa" w:w="1464"/>
            <w:shd w:val="clear" w:color="auto" w:fill="EEF2FF"/>
          </w:tcPr>
          <w:p>
            <w:r>
              <w:rPr>
                <w:sz w:val="18"/>
              </w:rPr>
              <w:t>PostgreSQL</w:t>
            </w:r>
          </w:p>
        </w:tc>
        <w:tc>
          <w:tcPr>
            <w:tcW w:type="dxa" w:w="1464"/>
            <w:shd w:val="clear" w:color="auto" w:fill="EEF2FF"/>
          </w:tcPr>
          <w:p>
            <w:r>
              <w:rPr>
                <w:sz w:val="18"/>
              </w:rPr>
              <w:t>RDS PostgreSQL</w:t>
            </w:r>
          </w:p>
        </w:tc>
        <w:tc>
          <w:tcPr>
            <w:tcW w:type="dxa" w:w="1464"/>
            <w:shd w:val="clear" w:color="auto" w:fill="EEF2FF"/>
          </w:tcPr>
          <w:p>
            <w:r>
              <w:rPr>
                <w:sz w:val="18"/>
              </w:rPr>
              <w:t>Azure DB for PostgreSQL</w:t>
            </w:r>
          </w:p>
        </w:tc>
        <w:tc>
          <w:tcPr>
            <w:tcW w:type="dxa" w:w="1464"/>
            <w:shd w:val="clear" w:color="auto" w:fill="EEF2FF"/>
          </w:tcPr>
          <w:p>
            <w:r>
              <w:rPr>
                <w:sz w:val="18"/>
              </w:rPr>
              <w:t>PostgreSQL (self-managed)</w:t>
            </w:r>
          </w:p>
        </w:tc>
      </w:tr>
      <w:tr>
        <w:tc>
          <w:tcPr>
            <w:tcW w:type="dxa" w:w="1464"/>
            <w:shd w:val="clear" w:color="auto" w:fill="FFFFFF"/>
          </w:tcPr>
          <w:p>
            <w:r>
              <w:rPr>
                <w:sz w:val="18"/>
              </w:rPr>
              <w:t>Identity &amp; Binding</w:t>
            </w:r>
          </w:p>
        </w:tc>
        <w:tc>
          <w:tcPr>
            <w:tcW w:type="dxa" w:w="1464"/>
            <w:shd w:val="clear" w:color="auto" w:fill="FFFFFF"/>
          </w:tcPr>
          <w:p>
            <w:r>
              <w:rPr>
                <w:sz w:val="18"/>
              </w:rPr>
              <w:t>Token secrets</w:t>
            </w:r>
          </w:p>
        </w:tc>
        <w:tc>
          <w:tcPr>
            <w:tcW w:type="dxa" w:w="1464"/>
            <w:shd w:val="clear" w:color="auto" w:fill="FFFFFF"/>
          </w:tcPr>
          <w:p>
            <w:r>
              <w:rPr>
                <w:sz w:val="18"/>
              </w:rPr>
              <w:t>AWS Secrets Manager</w:t>
            </w:r>
          </w:p>
        </w:tc>
        <w:tc>
          <w:tcPr>
            <w:tcW w:type="dxa" w:w="1464"/>
            <w:shd w:val="clear" w:color="auto" w:fill="FFFFFF"/>
          </w:tcPr>
          <w:p>
            <w:r>
              <w:rPr>
                <w:sz w:val="18"/>
              </w:rPr>
              <w:t>—</w:t>
            </w:r>
          </w:p>
        </w:tc>
        <w:tc>
          <w:tcPr>
            <w:tcW w:type="dxa" w:w="1464"/>
            <w:shd w:val="clear" w:color="auto" w:fill="FFFFFF"/>
          </w:tcPr>
          <w:p>
            <w:r>
              <w:rPr>
                <w:sz w:val="18"/>
              </w:rPr>
              <w:t>Azure Key Vault</w:t>
            </w:r>
          </w:p>
        </w:tc>
        <w:tc>
          <w:tcPr>
            <w:tcW w:type="dxa" w:w="1464"/>
            <w:shd w:val="clear" w:color="auto" w:fill="FFFFFF"/>
          </w:tcPr>
          <w:p>
            <w:r>
              <w:rPr>
                <w:sz w:val="18"/>
              </w:rPr>
              <w:t>HashiCorp Vault</w:t>
            </w:r>
          </w:p>
        </w:tc>
      </w:tr>
      <w:tr>
        <w:tc>
          <w:tcPr>
            <w:tcW w:type="dxa" w:w="1464"/>
            <w:shd w:val="clear" w:color="auto" w:fill="EEF2FF"/>
          </w:tcPr>
          <w:p>
            <w:r>
              <w:rPr>
                <w:sz w:val="18"/>
              </w:rPr>
              <w:t>Care Coordination</w:t>
            </w:r>
          </w:p>
        </w:tc>
        <w:tc>
          <w:tcPr>
            <w:tcW w:type="dxa" w:w="1464"/>
            <w:shd w:val="clear" w:color="auto" w:fill="EEF2FF"/>
          </w:tcPr>
          <w:p>
            <w:r>
              <w:rPr>
                <w:sz w:val="18"/>
              </w:rPr>
              <w:t>API + queue</w:t>
            </w:r>
          </w:p>
        </w:tc>
        <w:tc>
          <w:tcPr>
            <w:tcW w:type="dxa" w:w="1464"/>
            <w:shd w:val="clear" w:color="auto" w:fill="EEF2FF"/>
          </w:tcPr>
          <w:p>
            <w:r>
              <w:rPr>
                <w:sz w:val="18"/>
              </w:rPr>
              <w:t>FastAPI + PostgreSQL</w:t>
            </w:r>
          </w:p>
        </w:tc>
        <w:tc>
          <w:tcPr>
            <w:tcW w:type="dxa" w:w="1464"/>
            <w:shd w:val="clear" w:color="auto" w:fill="EEF2FF"/>
          </w:tcPr>
          <w:p>
            <w:r>
              <w:rPr>
                <w:sz w:val="18"/>
              </w:rPr>
              <w:t>—</w:t>
            </w:r>
          </w:p>
        </w:tc>
        <w:tc>
          <w:tcPr>
            <w:tcW w:type="dxa" w:w="1464"/>
            <w:shd w:val="clear" w:color="auto" w:fill="EEF2FF"/>
          </w:tcPr>
          <w:p>
            <w:r>
              <w:rPr>
                <w:sz w:val="18"/>
              </w:rPr>
              <w:t>—</w:t>
            </w:r>
          </w:p>
        </w:tc>
        <w:tc>
          <w:tcPr>
            <w:tcW w:type="dxa" w:w="1464"/>
            <w:shd w:val="clear" w:color="auto" w:fill="EEF2FF"/>
          </w:tcPr>
          <w:p>
            <w:r>
              <w:rPr>
                <w:sz w:val="18"/>
              </w:rPr>
              <w:t>FastAPI + any RDBMS</w:t>
            </w:r>
          </w:p>
        </w:tc>
      </w:tr>
      <w:tr>
        <w:tc>
          <w:tcPr>
            <w:tcW w:type="dxa" w:w="1464"/>
            <w:shd w:val="clear" w:color="auto" w:fill="FFFFFF"/>
          </w:tcPr>
          <w:p>
            <w:r>
              <w:rPr>
                <w:sz w:val="18"/>
              </w:rPr>
              <w:t>Care Coordination</w:t>
            </w:r>
          </w:p>
        </w:tc>
        <w:tc>
          <w:tcPr>
            <w:tcW w:type="dxa" w:w="1464"/>
            <w:shd w:val="clear" w:color="auto" w:fill="FFFFFF"/>
          </w:tcPr>
          <w:p>
            <w:r>
              <w:rPr>
                <w:sz w:val="18"/>
              </w:rPr>
              <w:t>Real-time push</w:t>
            </w:r>
          </w:p>
        </w:tc>
        <w:tc>
          <w:tcPr>
            <w:tcW w:type="dxa" w:w="1464"/>
            <w:shd w:val="clear" w:color="auto" w:fill="FFFFFF"/>
          </w:tcPr>
          <w:p>
            <w:r>
              <w:rPr>
                <w:sz w:val="18"/>
              </w:rPr>
              <w:t>WebSocket</w:t>
            </w:r>
          </w:p>
        </w:tc>
        <w:tc>
          <w:tcPr>
            <w:tcW w:type="dxa" w:w="1464"/>
            <w:shd w:val="clear" w:color="auto" w:fill="FFFFFF"/>
          </w:tcPr>
          <w:p>
            <w:r>
              <w:rPr>
                <w:sz w:val="18"/>
              </w:rPr>
              <w:t>AWS API Gateway WebSocket</w:t>
            </w:r>
          </w:p>
        </w:tc>
        <w:tc>
          <w:tcPr>
            <w:tcW w:type="dxa" w:w="1464"/>
            <w:shd w:val="clear" w:color="auto" w:fill="FFFFFF"/>
          </w:tcPr>
          <w:p>
            <w:r>
              <w:rPr>
                <w:sz w:val="18"/>
              </w:rPr>
              <w:t>Azure Web PubSub</w:t>
            </w:r>
          </w:p>
        </w:tc>
        <w:tc>
          <w:tcPr>
            <w:tcW w:type="dxa" w:w="1464"/>
            <w:shd w:val="clear" w:color="auto" w:fill="FFFFFF"/>
          </w:tcPr>
          <w:p>
            <w:r>
              <w:rPr>
                <w:sz w:val="18"/>
              </w:rPr>
              <w:t>Socket.io</w:t>
            </w:r>
          </w:p>
        </w:tc>
      </w:tr>
      <w:tr>
        <w:tc>
          <w:tcPr>
            <w:tcW w:type="dxa" w:w="1464"/>
            <w:shd w:val="clear" w:color="auto" w:fill="EEF2FF"/>
          </w:tcPr>
          <w:p>
            <w:r>
              <w:rPr>
                <w:sz w:val="18"/>
              </w:rPr>
              <w:t>Research Analytics</w:t>
            </w:r>
          </w:p>
        </w:tc>
        <w:tc>
          <w:tcPr>
            <w:tcW w:type="dxa" w:w="1464"/>
            <w:shd w:val="clear" w:color="auto" w:fill="EEF2FF"/>
          </w:tcPr>
          <w:p>
            <w:r>
              <w:rPr>
                <w:sz w:val="18"/>
              </w:rPr>
              <w:t>Cohort query</w:t>
            </w:r>
          </w:p>
        </w:tc>
        <w:tc>
          <w:tcPr>
            <w:tcW w:type="dxa" w:w="1464"/>
            <w:shd w:val="clear" w:color="auto" w:fill="EEF2FF"/>
          </w:tcPr>
          <w:p>
            <w:r>
              <w:rPr>
                <w:sz w:val="18"/>
              </w:rPr>
              <w:t>Databricks SQL</w:t>
            </w:r>
          </w:p>
        </w:tc>
        <w:tc>
          <w:tcPr>
            <w:tcW w:type="dxa" w:w="1464"/>
            <w:shd w:val="clear" w:color="auto" w:fill="EEF2FF"/>
          </w:tcPr>
          <w:p>
            <w:r>
              <w:rPr>
                <w:sz w:val="18"/>
              </w:rPr>
              <w:t>Amazon Athena</w:t>
            </w:r>
          </w:p>
        </w:tc>
        <w:tc>
          <w:tcPr>
            <w:tcW w:type="dxa" w:w="1464"/>
            <w:shd w:val="clear" w:color="auto" w:fill="EEF2FF"/>
          </w:tcPr>
          <w:p>
            <w:r>
              <w:rPr>
                <w:sz w:val="18"/>
              </w:rPr>
              <w:t>Azure Synapse</w:t>
            </w:r>
          </w:p>
        </w:tc>
        <w:tc>
          <w:tcPr>
            <w:tcW w:type="dxa" w:w="1464"/>
            <w:shd w:val="clear" w:color="auto" w:fill="EEF2FF"/>
          </w:tcPr>
          <w:p>
            <w:r>
              <w:rPr>
                <w:sz w:val="18"/>
              </w:rPr>
              <w:t>DuckDB (smaller scale)</w:t>
            </w:r>
          </w:p>
        </w:tc>
      </w:tr>
      <w:tr>
        <w:tc>
          <w:tcPr>
            <w:tcW w:type="dxa" w:w="1464"/>
            <w:shd w:val="clear" w:color="auto" w:fill="FFFFFF"/>
          </w:tcPr>
          <w:p>
            <w:r>
              <w:rPr>
                <w:sz w:val="18"/>
              </w:rPr>
              <w:t>Population Health</w:t>
            </w:r>
          </w:p>
        </w:tc>
        <w:tc>
          <w:tcPr>
            <w:tcW w:type="dxa" w:w="1464"/>
            <w:shd w:val="clear" w:color="auto" w:fill="FFFFFF"/>
          </w:tcPr>
          <w:p>
            <w:r>
              <w:rPr>
                <w:sz w:val="18"/>
              </w:rPr>
              <w:t>Dashboards</w:t>
            </w:r>
          </w:p>
        </w:tc>
        <w:tc>
          <w:tcPr>
            <w:tcW w:type="dxa" w:w="1464"/>
            <w:shd w:val="clear" w:color="auto" w:fill="FFFFFF"/>
          </w:tcPr>
          <w:p>
            <w:r>
              <w:rPr>
                <w:sz w:val="18"/>
              </w:rPr>
              <w:t>Power BI + Databricks</w:t>
            </w:r>
          </w:p>
        </w:tc>
        <w:tc>
          <w:tcPr>
            <w:tcW w:type="dxa" w:w="1464"/>
            <w:shd w:val="clear" w:color="auto" w:fill="FFFFFF"/>
          </w:tcPr>
          <w:p>
            <w:r>
              <w:rPr>
                <w:sz w:val="18"/>
              </w:rPr>
              <w:t>QuickSight</w:t>
            </w:r>
          </w:p>
        </w:tc>
        <w:tc>
          <w:tcPr>
            <w:tcW w:type="dxa" w:w="1464"/>
            <w:shd w:val="clear" w:color="auto" w:fill="FFFFFF"/>
          </w:tcPr>
          <w:p>
            <w:r>
              <w:rPr>
                <w:sz w:val="18"/>
              </w:rPr>
              <w:t>Power BI + Synapse</w:t>
            </w:r>
          </w:p>
        </w:tc>
        <w:tc>
          <w:tcPr>
            <w:tcW w:type="dxa" w:w="1464"/>
            <w:shd w:val="clear" w:color="auto" w:fill="FFFFFF"/>
          </w:tcPr>
          <w:p>
            <w:r>
              <w:rPr>
                <w:sz w:val="18"/>
              </w:rPr>
              <w:t>Apache Superset (OSS)</w:t>
            </w:r>
          </w:p>
        </w:tc>
      </w:tr>
      <w:tr>
        <w:tc>
          <w:tcPr>
            <w:tcW w:type="dxa" w:w="1464"/>
            <w:shd w:val="clear" w:color="auto" w:fill="EEF2FF"/>
          </w:tcPr>
          <w:p>
            <w:r>
              <w:rPr>
                <w:sz w:val="18"/>
              </w:rPr>
              <w:t>Observability</w:t>
            </w:r>
          </w:p>
        </w:tc>
        <w:tc>
          <w:tcPr>
            <w:tcW w:type="dxa" w:w="1464"/>
            <w:shd w:val="clear" w:color="auto" w:fill="EEF2FF"/>
          </w:tcPr>
          <w:p>
            <w:r>
              <w:rPr>
                <w:sz w:val="18"/>
              </w:rPr>
              <w:t>Metrics + dashboards</w:t>
            </w:r>
          </w:p>
        </w:tc>
        <w:tc>
          <w:tcPr>
            <w:tcW w:type="dxa" w:w="1464"/>
            <w:shd w:val="clear" w:color="auto" w:fill="EEF2FF"/>
          </w:tcPr>
          <w:p>
            <w:r>
              <w:rPr>
                <w:sz w:val="18"/>
              </w:rPr>
              <w:t>Prometheus + Grafana</w:t>
            </w:r>
          </w:p>
        </w:tc>
        <w:tc>
          <w:tcPr>
            <w:tcW w:type="dxa" w:w="1464"/>
            <w:shd w:val="clear" w:color="auto" w:fill="EEF2FF"/>
          </w:tcPr>
          <w:p>
            <w:r>
              <w:rPr>
                <w:sz w:val="18"/>
              </w:rPr>
              <w:t>Amazon CloudWatch</w:t>
            </w:r>
          </w:p>
        </w:tc>
        <w:tc>
          <w:tcPr>
            <w:tcW w:type="dxa" w:w="1464"/>
            <w:shd w:val="clear" w:color="auto" w:fill="EEF2FF"/>
          </w:tcPr>
          <w:p>
            <w:r>
              <w:rPr>
                <w:sz w:val="18"/>
              </w:rPr>
              <w:t>Azure Monitor + Grafana</w:t>
            </w:r>
          </w:p>
        </w:tc>
        <w:tc>
          <w:tcPr>
            <w:tcW w:type="dxa" w:w="1464"/>
            <w:shd w:val="clear" w:color="auto" w:fill="EEF2FF"/>
          </w:tcPr>
          <w:p>
            <w:r>
              <w:rPr>
                <w:sz w:val="18"/>
              </w:rPr>
              <w:t>Grafana + Prometheus (OSS)</w:t>
            </w:r>
          </w:p>
        </w:tc>
      </w:tr>
      <w:tr>
        <w:tc>
          <w:tcPr>
            <w:tcW w:type="dxa" w:w="1464"/>
            <w:shd w:val="clear" w:color="auto" w:fill="FFFFFF"/>
          </w:tcPr>
          <w:p>
            <w:r>
              <w:rPr>
                <w:sz w:val="18"/>
              </w:rPr>
              <w:t>Observability</w:t>
            </w:r>
          </w:p>
        </w:tc>
        <w:tc>
          <w:tcPr>
            <w:tcW w:type="dxa" w:w="1464"/>
            <w:shd w:val="clear" w:color="auto" w:fill="FFFFFF"/>
          </w:tcPr>
          <w:p>
            <w:r>
              <w:rPr>
                <w:sz w:val="18"/>
              </w:rPr>
              <w:t>Alerting</w:t>
            </w:r>
          </w:p>
        </w:tc>
        <w:tc>
          <w:tcPr>
            <w:tcW w:type="dxa" w:w="1464"/>
            <w:shd w:val="clear" w:color="auto" w:fill="FFFFFF"/>
          </w:tcPr>
          <w:p>
            <w:r>
              <w:rPr>
                <w:sz w:val="18"/>
              </w:rPr>
              <w:t>PagerDuty</w:t>
            </w:r>
          </w:p>
        </w:tc>
        <w:tc>
          <w:tcPr>
            <w:tcW w:type="dxa" w:w="1464"/>
            <w:shd w:val="clear" w:color="auto" w:fill="FFFFFF"/>
          </w:tcPr>
          <w:p>
            <w:r>
              <w:rPr>
                <w:sz w:val="18"/>
              </w:rPr>
              <w:t>AWS SNS + OpsGenie</w:t>
            </w:r>
          </w:p>
        </w:tc>
        <w:tc>
          <w:tcPr>
            <w:tcW w:type="dxa" w:w="1464"/>
            <w:shd w:val="clear" w:color="auto" w:fill="FFFFFF"/>
          </w:tcPr>
          <w:p>
            <w:r>
              <w:rPr>
                <w:sz w:val="18"/>
              </w:rPr>
              <w:t>Azure Monitor Alerts</w:t>
            </w:r>
          </w:p>
        </w:tc>
        <w:tc>
          <w:tcPr>
            <w:tcW w:type="dxa" w:w="1464"/>
            <w:shd w:val="clear" w:color="auto" w:fill="FFFFFF"/>
          </w:tcPr>
          <w:p>
            <w:r>
              <w:rPr>
                <w:sz w:val="18"/>
              </w:rPr>
              <w:t>Alertmanager (OSS)</w:t>
            </w:r>
          </w:p>
        </w:tc>
      </w:tr>
      <w:tr>
        <w:tc>
          <w:tcPr>
            <w:tcW w:type="dxa" w:w="1464"/>
            <w:shd w:val="clear" w:color="auto" w:fill="EEF2FF"/>
          </w:tcPr>
          <w:p>
            <w:r>
              <w:rPr>
                <w:sz w:val="18"/>
              </w:rPr>
              <w:t>Audit</w:t>
            </w:r>
          </w:p>
        </w:tc>
        <w:tc>
          <w:tcPr>
            <w:tcW w:type="dxa" w:w="1464"/>
            <w:shd w:val="clear" w:color="auto" w:fill="EEF2FF"/>
          </w:tcPr>
          <w:p>
            <w:r>
              <w:rPr>
                <w:sz w:val="18"/>
              </w:rPr>
              <w:t>Immutable log</w:t>
            </w:r>
          </w:p>
        </w:tc>
        <w:tc>
          <w:tcPr>
            <w:tcW w:type="dxa" w:w="1464"/>
            <w:shd w:val="clear" w:color="auto" w:fill="EEF2FF"/>
          </w:tcPr>
          <w:p>
            <w:r>
              <w:rPr>
                <w:sz w:val="18"/>
              </w:rPr>
              <w:t>Kafka + S3 WORM</w:t>
            </w:r>
          </w:p>
        </w:tc>
        <w:tc>
          <w:tcPr>
            <w:tcW w:type="dxa" w:w="1464"/>
            <w:shd w:val="clear" w:color="auto" w:fill="EEF2FF"/>
          </w:tcPr>
          <w:p>
            <w:r>
              <w:rPr>
                <w:sz w:val="18"/>
              </w:rPr>
              <w:t>S3 Object Lock</w:t>
            </w:r>
          </w:p>
        </w:tc>
        <w:tc>
          <w:tcPr>
            <w:tcW w:type="dxa" w:w="1464"/>
            <w:shd w:val="clear" w:color="auto" w:fill="EEF2FF"/>
          </w:tcPr>
          <w:p>
            <w:r>
              <w:rPr>
                <w:sz w:val="18"/>
              </w:rPr>
              <w:t>ADLS Gen2 + immutability policy</w:t>
            </w:r>
          </w:p>
        </w:tc>
        <w:tc>
          <w:tcPr>
            <w:tcW w:type="dxa" w:w="1464"/>
            <w:shd w:val="clear" w:color="auto" w:fill="EEF2FF"/>
          </w:tcPr>
          <w:p>
            <w:r>
              <w:rPr>
                <w:sz w:val="18"/>
              </w:rPr>
              <w:t>Apache Iceberg + MinIO</w:t>
            </w:r>
          </w:p>
        </w:tc>
      </w:tr>
      <w:tr>
        <w:tc>
          <w:tcPr>
            <w:tcW w:type="dxa" w:w="1464"/>
            <w:shd w:val="clear" w:color="auto" w:fill="FFFFFF"/>
          </w:tcPr>
          <w:p>
            <w:r>
              <w:rPr>
                <w:sz w:val="18"/>
              </w:rPr>
              <w:t>Audit</w:t>
            </w:r>
          </w:p>
        </w:tc>
        <w:tc>
          <w:tcPr>
            <w:tcW w:type="dxa" w:w="1464"/>
            <w:shd w:val="clear" w:color="auto" w:fill="FFFFFF"/>
          </w:tcPr>
          <w:p>
            <w:r>
              <w:rPr>
                <w:sz w:val="18"/>
              </w:rPr>
              <w:t>Data lineage</w:t>
            </w:r>
          </w:p>
        </w:tc>
        <w:tc>
          <w:tcPr>
            <w:tcW w:type="dxa" w:w="1464"/>
            <w:shd w:val="clear" w:color="auto" w:fill="FFFFFF"/>
          </w:tcPr>
          <w:p>
            <w:r>
              <w:rPr>
                <w:sz w:val="18"/>
              </w:rPr>
              <w:t>OpenLineage + Marquez</w:t>
            </w:r>
          </w:p>
        </w:tc>
        <w:tc>
          <w:tcPr>
            <w:tcW w:type="dxa" w:w="1464"/>
            <w:shd w:val="clear" w:color="auto" w:fill="FFFFFF"/>
          </w:tcPr>
          <w:p>
            <w:r>
              <w:rPr>
                <w:sz w:val="18"/>
              </w:rPr>
              <w:t>—</w:t>
            </w:r>
          </w:p>
        </w:tc>
        <w:tc>
          <w:tcPr>
            <w:tcW w:type="dxa" w:w="1464"/>
            <w:shd w:val="clear" w:color="auto" w:fill="FFFFFF"/>
          </w:tcPr>
          <w:p>
            <w:r>
              <w:rPr>
                <w:sz w:val="18"/>
              </w:rPr>
              <w:t>Microsoft Purview</w:t>
            </w:r>
          </w:p>
        </w:tc>
        <w:tc>
          <w:tcPr>
            <w:tcW w:type="dxa" w:w="1464"/>
            <w:shd w:val="clear" w:color="auto" w:fill="FFFFFF"/>
          </w:tcPr>
          <w:p>
            <w:r>
              <w:rPr>
                <w:sz w:val="18"/>
              </w:rPr>
              <w:t>OpenLineage (OSS)</w:t>
            </w:r>
          </w:p>
        </w:tc>
      </w:tr>
      <w:tr>
        <w:tc>
          <w:tcPr>
            <w:tcW w:type="dxa" w:w="1464"/>
            <w:shd w:val="clear" w:color="auto" w:fill="EEF2FF"/>
          </w:tcPr>
          <w:p>
            <w:r>
              <w:rPr>
                <w:sz w:val="18"/>
              </w:rPr>
              <w:t>EMR Gateway</w:t>
            </w:r>
          </w:p>
        </w:tc>
        <w:tc>
          <w:tcPr>
            <w:tcW w:type="dxa" w:w="1464"/>
            <w:shd w:val="clear" w:color="auto" w:fill="EEF2FF"/>
          </w:tcPr>
          <w:p>
            <w:r>
              <w:rPr>
                <w:sz w:val="18"/>
              </w:rPr>
              <w:t>SMART on FHIR</w:t>
            </w:r>
          </w:p>
        </w:tc>
        <w:tc>
          <w:tcPr>
            <w:tcW w:type="dxa" w:w="1464"/>
            <w:shd w:val="clear" w:color="auto" w:fill="EEF2FF"/>
          </w:tcPr>
          <w:p>
            <w:r>
              <w:rPr>
                <w:sz w:val="18"/>
              </w:rPr>
              <w:t>smart-on-fhir (Python)</w:t>
            </w:r>
          </w:p>
        </w:tc>
        <w:tc>
          <w:tcPr>
            <w:tcW w:type="dxa" w:w="1464"/>
            <w:shd w:val="clear" w:color="auto" w:fill="EEF2FF"/>
          </w:tcPr>
          <w:p>
            <w:r>
              <w:rPr>
                <w:sz w:val="18"/>
              </w:rPr>
              <w:t>—</w:t>
            </w:r>
          </w:p>
        </w:tc>
        <w:tc>
          <w:tcPr>
            <w:tcW w:type="dxa" w:w="1464"/>
            <w:shd w:val="clear" w:color="auto" w:fill="EEF2FF"/>
          </w:tcPr>
          <w:p>
            <w:r>
              <w:rPr>
                <w:sz w:val="18"/>
              </w:rPr>
              <w:t>—</w:t>
            </w:r>
          </w:p>
        </w:tc>
        <w:tc>
          <w:tcPr>
            <w:tcW w:type="dxa" w:w="1464"/>
            <w:shd w:val="clear" w:color="auto" w:fill="EEF2FF"/>
          </w:tcPr>
          <w:p>
            <w:r>
              <w:rPr>
                <w:sz w:val="18"/>
              </w:rPr>
              <w:t>HAPI FHIR (Java)</w:t>
            </w:r>
          </w:p>
        </w:tc>
      </w:tr>
      <w:tr>
        <w:tc>
          <w:tcPr>
            <w:tcW w:type="dxa" w:w="1464"/>
            <w:shd w:val="clear" w:color="auto" w:fill="FFFFFF"/>
          </w:tcPr>
          <w:p>
            <w:r>
              <w:rPr>
                <w:sz w:val="18"/>
              </w:rPr>
              <w:t>Frontend — Web</w:t>
            </w:r>
          </w:p>
        </w:tc>
        <w:tc>
          <w:tcPr>
            <w:tcW w:type="dxa" w:w="1464"/>
            <w:shd w:val="clear" w:color="auto" w:fill="FFFFFF"/>
          </w:tcPr>
          <w:p>
            <w:r>
              <w:rPr>
                <w:sz w:val="18"/>
              </w:rPr>
              <w:t>Platform web app</w:t>
            </w:r>
          </w:p>
        </w:tc>
        <w:tc>
          <w:tcPr>
            <w:tcW w:type="dxa" w:w="1464"/>
            <w:shd w:val="clear" w:color="auto" w:fill="FFFFFF"/>
          </w:tcPr>
          <w:p>
            <w:r>
              <w:rPr>
                <w:sz w:val="18"/>
              </w:rPr>
              <w:t>React + FastAPI</w:t>
            </w:r>
          </w:p>
        </w:tc>
        <w:tc>
          <w:tcPr>
            <w:tcW w:type="dxa" w:w="1464"/>
            <w:shd w:val="clear" w:color="auto" w:fill="FFFFFF"/>
          </w:tcPr>
          <w:p>
            <w:r>
              <w:rPr>
                <w:sz w:val="18"/>
              </w:rPr>
              <w:t>—</w:t>
            </w:r>
          </w:p>
        </w:tc>
        <w:tc>
          <w:tcPr>
            <w:tcW w:type="dxa" w:w="1464"/>
            <w:shd w:val="clear" w:color="auto" w:fill="FFFFFF"/>
          </w:tcPr>
          <w:p>
            <w:r>
              <w:rPr>
                <w:sz w:val="18"/>
              </w:rPr>
              <w:t>—</w:t>
            </w:r>
          </w:p>
        </w:tc>
        <w:tc>
          <w:tcPr>
            <w:tcW w:type="dxa" w:w="1464"/>
            <w:shd w:val="clear" w:color="auto" w:fill="FFFFFF"/>
          </w:tcPr>
          <w:p>
            <w:r>
              <w:rPr>
                <w:sz w:val="18"/>
              </w:rPr>
              <w:t>Next.js + FastAPI</w:t>
            </w:r>
          </w:p>
        </w:tc>
      </w:tr>
      <w:tr>
        <w:tc>
          <w:tcPr>
            <w:tcW w:type="dxa" w:w="1464"/>
            <w:shd w:val="clear" w:color="auto" w:fill="EEF2FF"/>
          </w:tcPr>
          <w:p>
            <w:r>
              <w:rPr>
                <w:sz w:val="18"/>
              </w:rPr>
              <w:t>Frontend — Mobile</w:t>
            </w:r>
          </w:p>
        </w:tc>
        <w:tc>
          <w:tcPr>
            <w:tcW w:type="dxa" w:w="1464"/>
            <w:shd w:val="clear" w:color="auto" w:fill="EEF2FF"/>
          </w:tcPr>
          <w:p>
            <w:r>
              <w:rPr>
                <w:sz w:val="18"/>
              </w:rPr>
              <w:t>Patient app</w:t>
            </w:r>
          </w:p>
        </w:tc>
        <w:tc>
          <w:tcPr>
            <w:tcW w:type="dxa" w:w="1464"/>
            <w:shd w:val="clear" w:color="auto" w:fill="EEF2FF"/>
          </w:tcPr>
          <w:p>
            <w:r>
              <w:rPr>
                <w:sz w:val="18"/>
              </w:rPr>
              <w:t>React Native</w:t>
            </w:r>
          </w:p>
        </w:tc>
        <w:tc>
          <w:tcPr>
            <w:tcW w:type="dxa" w:w="1464"/>
            <w:shd w:val="clear" w:color="auto" w:fill="EEF2FF"/>
          </w:tcPr>
          <w:p>
            <w:r>
              <w:rPr>
                <w:sz w:val="18"/>
              </w:rPr>
              <w:t>—</w:t>
            </w:r>
          </w:p>
        </w:tc>
        <w:tc>
          <w:tcPr>
            <w:tcW w:type="dxa" w:w="1464"/>
            <w:shd w:val="clear" w:color="auto" w:fill="EEF2FF"/>
          </w:tcPr>
          <w:p>
            <w:r>
              <w:rPr>
                <w:sz w:val="18"/>
              </w:rPr>
              <w:t>—</w:t>
            </w:r>
          </w:p>
        </w:tc>
        <w:tc>
          <w:tcPr>
            <w:tcW w:type="dxa" w:w="1464"/>
            <w:shd w:val="clear" w:color="auto" w:fill="EEF2FF"/>
          </w:tcPr>
          <w:p>
            <w:r>
              <w:rPr>
                <w:sz w:val="18"/>
              </w:rPr>
              <w:t>Flutter</w:t>
            </w:r>
          </w:p>
        </w:tc>
      </w:tr>
      <w:tr>
        <w:tc>
          <w:tcPr>
            <w:tcW w:type="dxa" w:w="1464"/>
            <w:shd w:val="clear" w:color="auto" w:fill="FFFFFF"/>
          </w:tcPr>
          <w:p>
            <w:r>
              <w:rPr>
                <w:sz w:val="18"/>
              </w:rPr>
              <w:t>API Gateway</w:t>
            </w:r>
          </w:p>
        </w:tc>
        <w:tc>
          <w:tcPr>
            <w:tcW w:type="dxa" w:w="1464"/>
            <w:shd w:val="clear" w:color="auto" w:fill="FFFFFF"/>
          </w:tcPr>
          <w:p>
            <w:r>
              <w:rPr>
                <w:sz w:val="18"/>
              </w:rPr>
              <w:t>External API surface</w:t>
            </w:r>
          </w:p>
        </w:tc>
        <w:tc>
          <w:tcPr>
            <w:tcW w:type="dxa" w:w="1464"/>
            <w:shd w:val="clear" w:color="auto" w:fill="FFFFFF"/>
          </w:tcPr>
          <w:p>
            <w:r>
              <w:rPr>
                <w:sz w:val="18"/>
              </w:rPr>
              <w:t>AWS API Gateway</w:t>
            </w:r>
          </w:p>
        </w:tc>
        <w:tc>
          <w:tcPr>
            <w:tcW w:type="dxa" w:w="1464"/>
            <w:shd w:val="clear" w:color="auto" w:fill="FFFFFF"/>
          </w:tcPr>
          <w:p>
            <w:r>
              <w:rPr>
                <w:sz w:val="18"/>
              </w:rPr>
              <w:t>—</w:t>
            </w:r>
          </w:p>
        </w:tc>
        <w:tc>
          <w:tcPr>
            <w:tcW w:type="dxa" w:w="1464"/>
            <w:shd w:val="clear" w:color="auto" w:fill="FFFFFF"/>
          </w:tcPr>
          <w:p>
            <w:r>
              <w:rPr>
                <w:sz w:val="18"/>
              </w:rPr>
              <w:t>Azure API Management</w:t>
            </w:r>
          </w:p>
        </w:tc>
        <w:tc>
          <w:tcPr>
            <w:tcW w:type="dxa" w:w="1464"/>
            <w:shd w:val="clear" w:color="auto" w:fill="FFFFFF"/>
          </w:tcPr>
          <w:p>
            <w:r>
              <w:rPr>
                <w:sz w:val="18"/>
              </w:rPr>
              <w:t>Kong (OSS)</w:t>
            </w:r>
          </w:p>
        </w:tc>
      </w:tr>
      <w:tr>
        <w:tc>
          <w:tcPr>
            <w:tcW w:type="dxa" w:w="1464"/>
            <w:shd w:val="clear" w:color="auto" w:fill="EEF2FF"/>
          </w:tcPr>
          <w:p>
            <w:r>
              <w:rPr>
                <w:sz w:val="18"/>
              </w:rPr>
              <w:t>Service Mesh</w:t>
            </w:r>
          </w:p>
        </w:tc>
        <w:tc>
          <w:tcPr>
            <w:tcW w:type="dxa" w:w="1464"/>
            <w:shd w:val="clear" w:color="auto" w:fill="EEF2FF"/>
          </w:tcPr>
          <w:p>
            <w:r>
              <w:rPr>
                <w:sz w:val="18"/>
              </w:rPr>
              <w:t>Inter-service mTLS + observability</w:t>
            </w:r>
          </w:p>
        </w:tc>
        <w:tc>
          <w:tcPr>
            <w:tcW w:type="dxa" w:w="1464"/>
            <w:shd w:val="clear" w:color="auto" w:fill="EEF2FF"/>
          </w:tcPr>
          <w:p>
            <w:r>
              <w:rPr>
                <w:sz w:val="18"/>
              </w:rPr>
              <w:t>Istio</w:t>
            </w:r>
          </w:p>
        </w:tc>
        <w:tc>
          <w:tcPr>
            <w:tcW w:type="dxa" w:w="1464"/>
            <w:shd w:val="clear" w:color="auto" w:fill="EEF2FF"/>
          </w:tcPr>
          <w:p>
            <w:r>
              <w:rPr>
                <w:sz w:val="18"/>
              </w:rPr>
              <w:t>AWS App Mesh</w:t>
            </w:r>
          </w:p>
        </w:tc>
        <w:tc>
          <w:tcPr>
            <w:tcW w:type="dxa" w:w="1464"/>
            <w:shd w:val="clear" w:color="auto" w:fill="EEF2FF"/>
          </w:tcPr>
          <w:p>
            <w:r>
              <w:rPr>
                <w:sz w:val="18"/>
              </w:rPr>
              <w:t>Azure Service Fabric Mesh</w:t>
            </w:r>
          </w:p>
        </w:tc>
        <w:tc>
          <w:tcPr>
            <w:tcW w:type="dxa" w:w="1464"/>
            <w:shd w:val="clear" w:color="auto" w:fill="EEF2FF"/>
          </w:tcPr>
          <w:p>
            <w:r>
              <w:rPr>
                <w:sz w:val="18"/>
              </w:rPr>
              <w:t>Linkerd (lighter weight)</w:t>
            </w:r>
          </w:p>
        </w:tc>
      </w:tr>
    </w:tbl>
    <w:p/>
    <w:p>
      <w:pPr>
        <w:pStyle w:val="Heading2"/>
      </w:pPr>
      <w:r>
        <w:rPr>
          <w:b/>
          <w:color w:val="1F3564"/>
        </w:rPr>
        <w:t>11.2 Technology Selection Criteria</w:t>
      </w:r>
    </w:p>
    <w:tbl>
      <w:tblPr>
        <w:tblStyle w:val="TableGrid"/>
        <w:tblW w:type="auto" w:w="0"/>
        <w:jc w:val="left"/>
        <w:tblLook w:firstColumn="1" w:firstRow="1" w:lastColumn="0" w:lastRow="0" w:noHBand="0" w:noVBand="1" w:val="04A0"/>
      </w:tblPr>
      <w:tblGrid>
        <w:gridCol w:w="4392"/>
        <w:gridCol w:w="4392"/>
      </w:tblGrid>
      <w:tr>
        <w:tc>
          <w:tcPr>
            <w:tcW w:type="dxa" w:w="4392"/>
            <w:shd w:val="clear" w:color="auto" w:fill="1F3564"/>
          </w:tcPr>
          <w:p>
            <w:r>
              <w:rPr>
                <w:b/>
                <w:color w:val="FFFFFF"/>
                <w:sz w:val="18"/>
              </w:rPr>
              <w:t>Criterion</w:t>
            </w:r>
          </w:p>
        </w:tc>
        <w:tc>
          <w:tcPr>
            <w:tcW w:type="dxa" w:w="4392"/>
            <w:shd w:val="clear" w:color="auto" w:fill="1F3564"/>
          </w:tcPr>
          <w:p>
            <w:r>
              <w:rPr>
                <w:b/>
                <w:color w:val="FFFFFF"/>
                <w:sz w:val="18"/>
              </w:rPr>
              <w:t>Guidance</w:t>
            </w:r>
          </w:p>
        </w:tc>
      </w:tr>
      <w:tr>
        <w:tc>
          <w:tcPr>
            <w:tcW w:type="dxa" w:w="4392"/>
            <w:shd w:val="clear" w:color="auto" w:fill="FFFFFF"/>
          </w:tcPr>
          <w:p>
            <w:r>
              <w:rPr>
                <w:sz w:val="18"/>
              </w:rPr>
              <w:t>HIPAA / HITRUST compliance</w:t>
            </w:r>
          </w:p>
        </w:tc>
        <w:tc>
          <w:tcPr>
            <w:tcW w:type="dxa" w:w="4392"/>
            <w:shd w:val="clear" w:color="auto" w:fill="FFFFFF"/>
          </w:tcPr>
          <w:p>
            <w:r>
              <w:rPr>
                <w:sz w:val="18"/>
              </w:rPr>
              <w:t>All data stores and compute must support BAA. Verify with cloud provider before selection.</w:t>
            </w:r>
          </w:p>
        </w:tc>
      </w:tr>
      <w:tr>
        <w:tc>
          <w:tcPr>
            <w:tcW w:type="dxa" w:w="4392"/>
            <w:shd w:val="clear" w:color="auto" w:fill="EEF2FF"/>
          </w:tcPr>
          <w:p>
            <w:r>
              <w:rPr>
                <w:sz w:val="18"/>
              </w:rPr>
              <w:t>FHIR R4 certification</w:t>
            </w:r>
          </w:p>
        </w:tc>
        <w:tc>
          <w:tcPr>
            <w:tcW w:type="dxa" w:w="4392"/>
            <w:shd w:val="clear" w:color="auto" w:fill="EEF2FF"/>
          </w:tcPr>
          <w:p>
            <w:r>
              <w:rPr>
                <w:sz w:val="18"/>
              </w:rPr>
              <w:t>EMR-facing components should use certified SMART on FHIR libraries (smart-on-fhir, HAPI FHIR).</w:t>
            </w:r>
          </w:p>
        </w:tc>
      </w:tr>
      <w:tr>
        <w:tc>
          <w:tcPr>
            <w:tcW w:type="dxa" w:w="4392"/>
            <w:shd w:val="clear" w:color="auto" w:fill="FFFFFF"/>
          </w:tcPr>
          <w:p>
            <w:r>
              <w:rPr>
                <w:sz w:val="18"/>
              </w:rPr>
              <w:t>Latency requirements</w:t>
            </w:r>
          </w:p>
        </w:tc>
        <w:tc>
          <w:tcPr>
            <w:tcW w:type="dxa" w:w="4392"/>
            <w:shd w:val="clear" w:color="auto" w:fill="FFFFFF"/>
          </w:tcPr>
          <w:p>
            <w:r>
              <w:rPr>
                <w:sz w:val="18"/>
              </w:rPr>
              <w:t>Hot path (device → CDS output) must hit P99 &lt;5s. Choose in-memory stores (Redis) for baseline lookups; avoid cold-start serverless on the critical path.</w:t>
            </w:r>
          </w:p>
        </w:tc>
      </w:tr>
      <w:tr>
        <w:tc>
          <w:tcPr>
            <w:tcW w:type="dxa" w:w="4392"/>
            <w:shd w:val="clear" w:color="auto" w:fill="EEF2FF"/>
          </w:tcPr>
          <w:p>
            <w:r>
              <w:rPr>
                <w:sz w:val="18"/>
              </w:rPr>
              <w:t>ML model management</w:t>
            </w:r>
          </w:p>
        </w:tc>
        <w:tc>
          <w:tcPr>
            <w:tcW w:type="dxa" w:w="4392"/>
            <w:shd w:val="clear" w:color="auto" w:fill="EEF2FF"/>
          </w:tcPr>
          <w:p>
            <w:r>
              <w:rPr>
                <w:sz w:val="18"/>
              </w:rPr>
              <w:t>MLflow is the recommended experiment tracker regardless of training platform (SageMaker, Azure ML, or local K8s).</w:t>
            </w:r>
          </w:p>
        </w:tc>
      </w:tr>
      <w:tr>
        <w:tc>
          <w:tcPr>
            <w:tcW w:type="dxa" w:w="4392"/>
            <w:shd w:val="clear" w:color="auto" w:fill="FFFFFF"/>
          </w:tcPr>
          <w:p>
            <w:r>
              <w:rPr>
                <w:sz w:val="18"/>
              </w:rPr>
              <w:t>LLM provider lock-in</w:t>
            </w:r>
          </w:p>
        </w:tc>
        <w:tc>
          <w:tcPr>
            <w:tcW w:type="dxa" w:w="4392"/>
            <w:shd w:val="clear" w:color="auto" w:fill="FFFFFF"/>
          </w:tcPr>
          <w:p>
            <w:r>
              <w:rPr>
                <w:sz w:val="18"/>
              </w:rPr>
              <w:t>Claude API is accessed via both AWS Bedrock and Azure AI — use an abstraction layer so the provider can be swapped without changing CDS business logic.</w:t>
            </w:r>
          </w:p>
        </w:tc>
      </w:tr>
      <w:tr>
        <w:tc>
          <w:tcPr>
            <w:tcW w:type="dxa" w:w="4392"/>
            <w:shd w:val="clear" w:color="auto" w:fill="EEF2FF"/>
          </w:tcPr>
          <w:p>
            <w:r>
              <w:rPr>
                <w:sz w:val="18"/>
              </w:rPr>
              <w:t>Team skills</w:t>
            </w:r>
          </w:p>
        </w:tc>
        <w:tc>
          <w:tcPr>
            <w:tcW w:type="dxa" w:w="4392"/>
            <w:shd w:val="clear" w:color="auto" w:fill="EEF2FF"/>
          </w:tcPr>
          <w:p>
            <w:r>
              <w:rPr>
                <w:sz w:val="18"/>
              </w:rPr>
              <w:t>FastAPI + Python is the default for new services. Only deviate for a specific capability need (e.g., HAPI FHIR for Java teams).</w:t>
            </w:r>
          </w:p>
        </w:tc>
      </w:tr>
    </w:tbl>
    <w:p/>
    <w:p>
      <w:r>
        <w:br w:type="page"/>
      </w:r>
    </w:p>
    <w:p>
      <w:pPr>
        <w:pStyle w:val="Heading1"/>
      </w:pPr>
      <w:r>
        <w:rPr>
          <w:b/>
          <w:color w:val="1F3564"/>
        </w:rPr>
        <w:t>12. Implementation Phases &amp; Delivery Plan</w:t>
      </w:r>
    </w:p>
    <w:p>
      <w:pPr>
        <w:pStyle w:val="Heading2"/>
      </w:pPr>
      <w:r>
        <w:rPr>
          <w:b/>
          <w:color w:val="1F3564"/>
        </w:rPr>
        <w:t>12.1 Phase Overview</w:t>
      </w:r>
    </w:p>
    <w:tbl>
      <w:tblPr>
        <w:tblStyle w:val="TableGrid"/>
        <w:tblW w:type="auto" w:w="0"/>
        <w:jc w:val="left"/>
        <w:tblLook w:firstColumn="1" w:firstRow="1" w:lastColumn="0" w:lastRow="0" w:noHBand="0" w:noVBand="1" w:val="04A0"/>
      </w:tblPr>
      <w:tblGrid>
        <w:gridCol w:w="1757"/>
        <w:gridCol w:w="1757"/>
        <w:gridCol w:w="1757"/>
        <w:gridCol w:w="1757"/>
        <w:gridCol w:w="1757"/>
      </w:tblGrid>
      <w:tr>
        <w:tc>
          <w:tcPr>
            <w:tcW w:type="dxa" w:w="1757"/>
            <w:shd w:val="clear" w:color="auto" w:fill="1F3564"/>
          </w:tcPr>
          <w:p>
            <w:r>
              <w:rPr>
                <w:b/>
                <w:color w:val="FFFFFF"/>
                <w:sz w:val="18"/>
              </w:rPr>
              <w:t>Phase</w:t>
            </w:r>
          </w:p>
        </w:tc>
        <w:tc>
          <w:tcPr>
            <w:tcW w:type="dxa" w:w="1757"/>
            <w:shd w:val="clear" w:color="auto" w:fill="1F3564"/>
          </w:tcPr>
          <w:p>
            <w:r>
              <w:rPr>
                <w:b/>
                <w:color w:val="FFFFFF"/>
                <w:sz w:val="18"/>
              </w:rPr>
              <w:t>Duration (est.)</w:t>
            </w:r>
          </w:p>
        </w:tc>
        <w:tc>
          <w:tcPr>
            <w:tcW w:type="dxa" w:w="1757"/>
            <w:shd w:val="clear" w:color="auto" w:fill="1F3564"/>
          </w:tcPr>
          <w:p>
            <w:r>
              <w:rPr>
                <w:b/>
                <w:color w:val="FFFFFF"/>
                <w:sz w:val="18"/>
              </w:rPr>
              <w:t>Signals Active</w:t>
            </w:r>
          </w:p>
        </w:tc>
        <w:tc>
          <w:tcPr>
            <w:tcW w:type="dxa" w:w="1757"/>
            <w:shd w:val="clear" w:color="auto" w:fill="1F3564"/>
          </w:tcPr>
          <w:p>
            <w:r>
              <w:rPr>
                <w:b/>
                <w:color w:val="FFFFFF"/>
                <w:sz w:val="18"/>
              </w:rPr>
              <w:t>Personas</w:t>
            </w:r>
          </w:p>
        </w:tc>
        <w:tc>
          <w:tcPr>
            <w:tcW w:type="dxa" w:w="1757"/>
            <w:shd w:val="clear" w:color="auto" w:fill="1F3564"/>
          </w:tcPr>
          <w:p>
            <w:r>
              <w:rPr>
                <w:b/>
                <w:color w:val="FFFFFF"/>
                <w:sz w:val="18"/>
              </w:rPr>
              <w:t>Key Deliverables</w:t>
            </w:r>
          </w:p>
        </w:tc>
      </w:tr>
      <w:tr>
        <w:tc>
          <w:tcPr>
            <w:tcW w:type="dxa" w:w="1757"/>
            <w:shd w:val="clear" w:color="auto" w:fill="FFFFFF"/>
          </w:tcPr>
          <w:p>
            <w:r>
              <w:rPr>
                <w:sz w:val="18"/>
              </w:rPr>
              <w:t>Phase 0 — Foundation</w:t>
            </w:r>
          </w:p>
        </w:tc>
        <w:tc>
          <w:tcPr>
            <w:tcW w:type="dxa" w:w="1757"/>
            <w:shd w:val="clear" w:color="auto" w:fill="FFFFFF"/>
          </w:tcPr>
          <w:p>
            <w:r>
              <w:rPr>
                <w:sz w:val="18"/>
              </w:rPr>
              <w:t>8 weeks</w:t>
            </w:r>
          </w:p>
        </w:tc>
        <w:tc>
          <w:tcPr>
            <w:tcW w:type="dxa" w:w="1757"/>
            <w:shd w:val="clear" w:color="auto" w:fill="FFFFFF"/>
          </w:tcPr>
          <w:p>
            <w:r>
              <w:rPr>
                <w:sz w:val="18"/>
              </w:rPr>
              <w:t>None (infra only)</w:t>
            </w:r>
          </w:p>
        </w:tc>
        <w:tc>
          <w:tcPr>
            <w:tcW w:type="dxa" w:w="1757"/>
            <w:shd w:val="clear" w:color="auto" w:fill="FFFFFF"/>
          </w:tcPr>
          <w:p>
            <w:r>
              <w:rPr>
                <w:sz w:val="18"/>
              </w:rPr>
              <w:t>None</w:t>
            </w:r>
          </w:p>
        </w:tc>
        <w:tc>
          <w:tcPr>
            <w:tcW w:type="dxa" w:w="1757"/>
            <w:shd w:val="clear" w:color="auto" w:fill="FFFFFF"/>
          </w:tcPr>
          <w:p>
            <w:r>
              <w:rPr>
                <w:sz w:val="18"/>
              </w:rPr>
              <w:t>Cloud infrastructure, Kafka cluster, CI/CD pipelines, security baseline, HIPAA BAA, IEMRGateway port + GenericFHIRAdapter scaffold, Device Identity &amp; Binding service</w:t>
            </w:r>
          </w:p>
        </w:tc>
      </w:tr>
      <w:tr>
        <w:tc>
          <w:tcPr>
            <w:tcW w:type="dxa" w:w="1757"/>
            <w:shd w:val="clear" w:color="auto" w:fill="EEF2FF"/>
          </w:tcPr>
          <w:p>
            <w:r>
              <w:rPr>
                <w:sz w:val="18"/>
              </w:rPr>
              <w:t>Phase 1 — Gen 1 MVP</w:t>
            </w:r>
          </w:p>
        </w:tc>
        <w:tc>
          <w:tcPr>
            <w:tcW w:type="dxa" w:w="1757"/>
            <w:shd w:val="clear" w:color="auto" w:fill="EEF2FF"/>
          </w:tcPr>
          <w:p>
            <w:r>
              <w:rPr>
                <w:sz w:val="18"/>
              </w:rPr>
              <w:t>12 weeks</w:t>
            </w:r>
          </w:p>
        </w:tc>
        <w:tc>
          <w:tcPr>
            <w:tcW w:type="dxa" w:w="1757"/>
            <w:shd w:val="clear" w:color="auto" w:fill="EEF2FF"/>
          </w:tcPr>
          <w:p>
            <w:r>
              <w:rPr>
                <w:sz w:val="18"/>
              </w:rPr>
              <w:t>Bio-impedance + Temperature</w:t>
            </w:r>
          </w:p>
        </w:tc>
        <w:tc>
          <w:tcPr>
            <w:tcW w:type="dxa" w:w="1757"/>
            <w:shd w:val="clear" w:color="auto" w:fill="EEF2FF"/>
          </w:tcPr>
          <w:p>
            <w:r>
              <w:rPr>
                <w:sz w:val="18"/>
              </w:rPr>
              <w:t>Patient, Corporate Admin</w:t>
            </w:r>
          </w:p>
        </w:tc>
        <w:tc>
          <w:tcPr>
            <w:tcW w:type="dxa" w:w="1757"/>
            <w:shd w:val="clear" w:color="auto" w:fill="EEF2FF"/>
          </w:tcPr>
          <w:p>
            <w:r>
              <w:rPr>
                <w:sz w:val="18"/>
              </w:rPr>
              <w:t>Device Connectivity, Signal Processing (2 signals), threshold alerting, Patient Mobile App (basic), Corporate Admin dashboard, DevicePatientBinding flow</w:t>
            </w:r>
          </w:p>
        </w:tc>
      </w:tr>
      <w:tr>
        <w:tc>
          <w:tcPr>
            <w:tcW w:type="dxa" w:w="1757"/>
            <w:shd w:val="clear" w:color="auto" w:fill="FFFFFF"/>
          </w:tcPr>
          <w:p>
            <w:r>
              <w:rPr>
                <w:sz w:val="18"/>
              </w:rPr>
              <w:t>Phase 2 — Gen 1 Complete</w:t>
            </w:r>
          </w:p>
        </w:tc>
        <w:tc>
          <w:tcPr>
            <w:tcW w:type="dxa" w:w="1757"/>
            <w:shd w:val="clear" w:color="auto" w:fill="FFFFFF"/>
          </w:tcPr>
          <w:p>
            <w:r>
              <w:rPr>
                <w:sz w:val="18"/>
              </w:rPr>
              <w:t>8 weeks</w:t>
            </w:r>
          </w:p>
        </w:tc>
        <w:tc>
          <w:tcPr>
            <w:tcW w:type="dxa" w:w="1757"/>
            <w:shd w:val="clear" w:color="auto" w:fill="FFFFFF"/>
          </w:tcPr>
          <w:p>
            <w:r>
              <w:rPr>
                <w:sz w:val="18"/>
              </w:rPr>
              <w:t>Bio-impedance + Temperature</w:t>
            </w:r>
          </w:p>
        </w:tc>
        <w:tc>
          <w:tcPr>
            <w:tcW w:type="dxa" w:w="1757"/>
            <w:shd w:val="clear" w:color="auto" w:fill="FFFFFF"/>
          </w:tcPr>
          <w:p>
            <w:r>
              <w:rPr>
                <w:sz w:val="18"/>
              </w:rPr>
              <w:t>Patient, Corporate Admin</w:t>
            </w:r>
          </w:p>
        </w:tc>
        <w:tc>
          <w:tcPr>
            <w:tcW w:type="dxa" w:w="1757"/>
            <w:shd w:val="clear" w:color="auto" w:fill="FFFFFF"/>
          </w:tcPr>
          <w:p>
            <w:r>
              <w:rPr>
                <w:sz w:val="18"/>
              </w:rPr>
              <w:t>Signal baseline engine, patient trend sparklines, SLA alerting, Platform Observability, Audit &amp; Compliance (WORM log), security pen test</w:t>
            </w:r>
          </w:p>
        </w:tc>
      </w:tr>
      <w:tr>
        <w:tc>
          <w:tcPr>
            <w:tcW w:type="dxa" w:w="1757"/>
            <w:shd w:val="clear" w:color="auto" w:fill="EEF2FF"/>
          </w:tcPr>
          <w:p>
            <w:r>
              <w:rPr>
                <w:sz w:val="18"/>
              </w:rPr>
              <w:t>Phase 3 — Gen 2 Alpha</w:t>
            </w:r>
          </w:p>
        </w:tc>
        <w:tc>
          <w:tcPr>
            <w:tcW w:type="dxa" w:w="1757"/>
            <w:shd w:val="clear" w:color="auto" w:fill="EEF2FF"/>
          </w:tcPr>
          <w:p>
            <w:r>
              <w:rPr>
                <w:sz w:val="18"/>
              </w:rPr>
              <w:t>12 weeks</w:t>
            </w:r>
          </w:p>
        </w:tc>
        <w:tc>
          <w:tcPr>
            <w:tcW w:type="dxa" w:w="1757"/>
            <w:shd w:val="clear" w:color="auto" w:fill="EEF2FF"/>
          </w:tcPr>
          <w:p>
            <w:r>
              <w:rPr>
                <w:sz w:val="18"/>
              </w:rPr>
              <w:t>+ pH + SpO₂</w:t>
            </w:r>
          </w:p>
        </w:tc>
        <w:tc>
          <w:tcPr>
            <w:tcW w:type="dxa" w:w="1757"/>
            <w:shd w:val="clear" w:color="auto" w:fill="EEF2FF"/>
          </w:tcPr>
          <w:p>
            <w:r>
              <w:rPr>
                <w:sz w:val="18"/>
              </w:rPr>
              <w:t>+ Clinician, Care Team</w:t>
            </w:r>
          </w:p>
        </w:tc>
        <w:tc>
          <w:tcPr>
            <w:tcW w:type="dxa" w:w="1757"/>
            <w:shd w:val="clear" w:color="auto" w:fill="EEF2FF"/>
          </w:tcPr>
          <w:p>
            <w:r>
              <w:rPr>
                <w:sz w:val="18"/>
              </w:rPr>
              <w:t>CDS risk scoring (4 signals), LLM clinical summary (Claude API), EpicAdapter, SMART on FHIR embedding, Escalation queue, SOAP draft (review-only)</w:t>
            </w:r>
          </w:p>
        </w:tc>
      </w:tr>
      <w:tr>
        <w:tc>
          <w:tcPr>
            <w:tcW w:type="dxa" w:w="1757"/>
            <w:shd w:val="clear" w:color="auto" w:fill="FFFFFF"/>
          </w:tcPr>
          <w:p>
            <w:r>
              <w:rPr>
                <w:sz w:val="18"/>
              </w:rPr>
              <w:t>Phase 4 — Gen 2 Complete</w:t>
            </w:r>
          </w:p>
        </w:tc>
        <w:tc>
          <w:tcPr>
            <w:tcW w:type="dxa" w:w="1757"/>
            <w:shd w:val="clear" w:color="auto" w:fill="FFFFFF"/>
          </w:tcPr>
          <w:p>
            <w:r>
              <w:rPr>
                <w:sz w:val="18"/>
              </w:rPr>
              <w:t>10 weeks</w:t>
            </w:r>
          </w:p>
        </w:tc>
        <w:tc>
          <w:tcPr>
            <w:tcW w:type="dxa" w:w="1757"/>
            <w:shd w:val="clear" w:color="auto" w:fill="FFFFFF"/>
          </w:tcPr>
          <w:p>
            <w:r>
              <w:rPr>
                <w:sz w:val="18"/>
              </w:rPr>
              <w:t>+ pH + SpO₂</w:t>
            </w:r>
          </w:p>
        </w:tc>
        <w:tc>
          <w:tcPr>
            <w:tcW w:type="dxa" w:w="1757"/>
            <w:shd w:val="clear" w:color="auto" w:fill="FFFFFF"/>
          </w:tcPr>
          <w:p>
            <w:r>
              <w:rPr>
                <w:sz w:val="18"/>
              </w:rPr>
              <w:t>+ Researcher, Hospital Admin</w:t>
            </w:r>
          </w:p>
        </w:tc>
        <w:tc>
          <w:tcPr>
            <w:tcW w:type="dxa" w:w="1757"/>
            <w:shd w:val="clear" w:color="auto" w:fill="FFFFFF"/>
          </w:tcPr>
          <w:p>
            <w:r>
              <w:rPr>
                <w:sz w:val="18"/>
              </w:rPr>
              <w:t>SOAP draft write-back (clinician-accepted), CernerAdapter, Research Analytics cohort explorer, Population Health dashboards, clinical pilot (selected hospital)</w:t>
            </w:r>
          </w:p>
        </w:tc>
      </w:tr>
      <w:tr>
        <w:tc>
          <w:tcPr>
            <w:tcW w:type="dxa" w:w="1757"/>
            <w:shd w:val="clear" w:color="auto" w:fill="EEF2FF"/>
          </w:tcPr>
          <w:p>
            <w:r>
              <w:rPr>
                <w:sz w:val="18"/>
              </w:rPr>
              <w:t>Phase 5 — Gen 3</w:t>
            </w:r>
          </w:p>
        </w:tc>
        <w:tc>
          <w:tcPr>
            <w:tcW w:type="dxa" w:w="1757"/>
            <w:shd w:val="clear" w:color="auto" w:fill="EEF2FF"/>
          </w:tcPr>
          <w:p>
            <w:r>
              <w:rPr>
                <w:sz w:val="18"/>
              </w:rPr>
              <w:t>14 weeks</w:t>
            </w:r>
          </w:p>
        </w:tc>
        <w:tc>
          <w:tcPr>
            <w:tcW w:type="dxa" w:w="1757"/>
            <w:shd w:val="clear" w:color="auto" w:fill="EEF2FF"/>
          </w:tcPr>
          <w:p>
            <w:r>
              <w:rPr>
                <w:sz w:val="18"/>
              </w:rPr>
              <w:t>+ Hydrogen Peroxide</w:t>
            </w:r>
          </w:p>
        </w:tc>
        <w:tc>
          <w:tcPr>
            <w:tcW w:type="dxa" w:w="1757"/>
            <w:shd w:val="clear" w:color="auto" w:fill="EEF2FF"/>
          </w:tcPr>
          <w:p>
            <w:r>
              <w:rPr>
                <w:sz w:val="18"/>
              </w:rPr>
              <w:t>All 6 personas</w:t>
            </w:r>
          </w:p>
        </w:tc>
        <w:tc>
          <w:tcPr>
            <w:tcW w:type="dxa" w:w="1757"/>
            <w:shd w:val="clear" w:color="auto" w:fill="EEF2FF"/>
          </w:tcPr>
          <w:p>
            <w:r>
              <w:rPr>
                <w:sz w:val="18"/>
              </w:rPr>
              <w:t>Full 6-signal composite risk, oxidative stress detection, population-scale ML, all personas at full capability, FDA SaMD determination</w:t>
            </w:r>
          </w:p>
        </w:tc>
      </w:tr>
    </w:tbl>
    <w:p/>
    <w:p>
      <w:pPr>
        <w:pStyle w:val="Heading2"/>
      </w:pPr>
      <w:r>
        <w:rPr>
          <w:b/>
          <w:color w:val="1F3564"/>
        </w:rPr>
        <w:t>12.2 Phase 0 — Foundation Checklist</w:t>
      </w:r>
    </w:p>
    <w:p>
      <w:pPr>
        <w:pStyle w:val="ListBullet"/>
        <w:spacing w:after="60"/>
      </w:pPr>
      <w:r>
        <w:rPr>
          <w:sz w:val="20"/>
        </w:rPr>
        <w:t>Cloud account provisioning and HIPAA BAA execution (AWS and/or Azure)</w:t>
      </w:r>
    </w:p>
    <w:p>
      <w:pPr>
        <w:pStyle w:val="ListBullet"/>
        <w:spacing w:after="60"/>
      </w:pPr>
      <w:r>
        <w:rPr>
          <w:sz w:val="20"/>
        </w:rPr>
        <w:t>GitHub org setup, branch protection, CI/CD pipelines (GitHub Actions)</w:t>
      </w:r>
    </w:p>
    <w:p>
      <w:pPr>
        <w:pStyle w:val="ListBullet"/>
        <w:spacing w:after="60"/>
      </w:pPr>
      <w:r>
        <w:rPr>
          <w:sz w:val="20"/>
        </w:rPr>
        <w:t>Kafka cluster provisioned; topic naming conventions established</w:t>
      </w:r>
    </w:p>
    <w:p>
      <w:pPr>
        <w:pStyle w:val="ListBullet"/>
        <w:spacing w:after="60"/>
      </w:pPr>
      <w:r>
        <w:rPr>
          <w:sz w:val="20"/>
        </w:rPr>
        <w:t>IEMRGateway abstract interface implemented and unit-tested</w:t>
      </w:r>
    </w:p>
    <w:p>
      <w:pPr>
        <w:pStyle w:val="ListBullet"/>
        <w:spacing w:after="60"/>
      </w:pPr>
      <w:r>
        <w:rPr>
          <w:sz w:val="20"/>
        </w:rPr>
        <w:t>GenericFHIRAdapter scaffold with SMART on FHIR auth working against a sandbox FHIR server</w:t>
      </w:r>
    </w:p>
    <w:p>
      <w:pPr>
        <w:pStyle w:val="ListBullet"/>
        <w:spacing w:after="60"/>
      </w:pPr>
      <w:r>
        <w:rPr>
          <w:sz w:val="20"/>
        </w:rPr>
        <w:t>Device Identity &amp; Binding service: PostgreSQL schema, HMAC token generation, Redis cache</w:t>
      </w:r>
    </w:p>
    <w:p>
      <w:pPr>
        <w:pStyle w:val="ListBullet"/>
        <w:spacing w:after="60"/>
      </w:pPr>
      <w:r>
        <w:rPr>
          <w:sz w:val="20"/>
        </w:rPr>
        <w:t>Secrets management (Secrets Manager / Key Vault) with per-tenant HMAC key rotation policy</w:t>
      </w:r>
    </w:p>
    <w:p>
      <w:pPr>
        <w:pStyle w:val="ListBullet"/>
        <w:spacing w:after="60"/>
      </w:pPr>
      <w:r>
        <w:rPr>
          <w:sz w:val="20"/>
        </w:rPr>
        <w:t>HIPAA-compliant logging policy: no PHI in application logs, structured JSON only</w:t>
      </w:r>
    </w:p>
    <w:p>
      <w:pPr>
        <w:pStyle w:val="ListBullet"/>
        <w:spacing w:after="60"/>
      </w:pPr>
      <w:r>
        <w:rPr>
          <w:sz w:val="20"/>
        </w:rPr>
        <w:t>Security baseline: mTLS between services, RBAC on all APIs, WAF on external endpoints</w:t>
      </w:r>
    </w:p>
    <w:p>
      <w:pPr>
        <w:pStyle w:val="ListBullet"/>
        <w:spacing w:after="60"/>
      </w:pPr>
      <w:r>
        <w:rPr>
          <w:sz w:val="20"/>
        </w:rPr>
        <w:t>OpenLineage + Marquez deployed for data lineage tracking</w:t>
      </w:r>
    </w:p>
    <w:p>
      <w:pPr>
        <w:pStyle w:val="ListBullet"/>
        <w:spacing w:after="60"/>
      </w:pPr>
      <w:r>
        <w:rPr>
          <w:sz w:val="20"/>
        </w:rPr>
        <w:t>Audit log: Kafka → S3/ADLS WORM with immutability policy</w:t>
      </w:r>
    </w:p>
    <w:p/>
    <w:p>
      <w:pPr>
        <w:pStyle w:val="Heading2"/>
      </w:pPr>
      <w:r>
        <w:rPr>
          <w:b/>
          <w:color w:val="1F3564"/>
        </w:rPr>
        <w:t>12.3 Key Dependencies &amp; Risks</w:t>
      </w:r>
    </w:p>
    <w:tbl>
      <w:tblPr>
        <w:tblStyle w:val="TableGrid"/>
        <w:tblW w:type="auto" w:w="0"/>
        <w:jc w:val="left"/>
        <w:tblLook w:firstColumn="1" w:firstRow="1" w:lastColumn="0" w:lastRow="0" w:noHBand="0" w:noVBand="1" w:val="04A0"/>
      </w:tblPr>
      <w:tblGrid>
        <w:gridCol w:w="2928"/>
        <w:gridCol w:w="2928"/>
        <w:gridCol w:w="2928"/>
      </w:tblGrid>
      <w:tr>
        <w:tc>
          <w:tcPr>
            <w:tcW w:type="dxa" w:w="2928"/>
            <w:shd w:val="clear" w:color="auto" w:fill="1F3564"/>
          </w:tcPr>
          <w:p>
            <w:r>
              <w:rPr>
                <w:b/>
                <w:color w:val="FFFFFF"/>
                <w:sz w:val="18"/>
              </w:rPr>
              <w:t>Dependency / Risk</w:t>
            </w:r>
          </w:p>
        </w:tc>
        <w:tc>
          <w:tcPr>
            <w:tcW w:type="dxa" w:w="2928"/>
            <w:shd w:val="clear" w:color="auto" w:fill="1F3564"/>
          </w:tcPr>
          <w:p>
            <w:r>
              <w:rPr>
                <w:b/>
                <w:color w:val="FFFFFF"/>
                <w:sz w:val="18"/>
              </w:rPr>
              <w:t>Impact</w:t>
            </w:r>
          </w:p>
        </w:tc>
        <w:tc>
          <w:tcPr>
            <w:tcW w:type="dxa" w:w="2928"/>
            <w:shd w:val="clear" w:color="auto" w:fill="1F3564"/>
          </w:tcPr>
          <w:p>
            <w:r>
              <w:rPr>
                <w:b/>
                <w:color w:val="FFFFFF"/>
                <w:sz w:val="18"/>
              </w:rPr>
              <w:t>Mitigation</w:t>
            </w:r>
          </w:p>
        </w:tc>
      </w:tr>
      <w:tr>
        <w:tc>
          <w:tcPr>
            <w:tcW w:type="dxa" w:w="2928"/>
            <w:shd w:val="clear" w:color="auto" w:fill="FFFFFF"/>
          </w:tcPr>
          <w:p>
            <w:r>
              <w:rPr>
                <w:sz w:val="18"/>
              </w:rPr>
              <w:t>Epic App Orchard registration</w:t>
            </w:r>
          </w:p>
        </w:tc>
        <w:tc>
          <w:tcPr>
            <w:tcW w:type="dxa" w:w="2928"/>
            <w:shd w:val="clear" w:color="auto" w:fill="FFFFFF"/>
          </w:tcPr>
          <w:p>
            <w:r>
              <w:rPr>
                <w:sz w:val="18"/>
              </w:rPr>
              <w:t>Blocks Gen 2 clinician flow — Epic review takes 8–12 weeks</w:t>
            </w:r>
          </w:p>
        </w:tc>
        <w:tc>
          <w:tcPr>
            <w:tcW w:type="dxa" w:w="2928"/>
            <w:shd w:val="clear" w:color="auto" w:fill="FFFFFF"/>
          </w:tcPr>
          <w:p>
            <w:r>
              <w:rPr>
                <w:sz w:val="18"/>
              </w:rPr>
              <w:t>Submit App Orchard application in Phase 0 in parallel with Gen 1 build</w:t>
            </w:r>
          </w:p>
        </w:tc>
      </w:tr>
      <w:tr>
        <w:tc>
          <w:tcPr>
            <w:tcW w:type="dxa" w:w="2928"/>
            <w:shd w:val="clear" w:color="auto" w:fill="EEF2FF"/>
          </w:tcPr>
          <w:p>
            <w:r>
              <w:rPr>
                <w:sz w:val="18"/>
              </w:rPr>
              <w:t>Cerner App Gallery registration</w:t>
            </w:r>
          </w:p>
        </w:tc>
        <w:tc>
          <w:tcPr>
            <w:tcW w:type="dxa" w:w="2928"/>
            <w:shd w:val="clear" w:color="auto" w:fill="EEF2FF"/>
          </w:tcPr>
          <w:p>
            <w:r>
              <w:rPr>
                <w:sz w:val="18"/>
              </w:rPr>
              <w:t>Same as Epic — parallel track needed</w:t>
            </w:r>
          </w:p>
        </w:tc>
        <w:tc>
          <w:tcPr>
            <w:tcW w:type="dxa" w:w="2928"/>
            <w:shd w:val="clear" w:color="auto" w:fill="EEF2FF"/>
          </w:tcPr>
          <w:p>
            <w:r>
              <w:rPr>
                <w:sz w:val="18"/>
              </w:rPr>
              <w:t>Submit in Phase 0; use GenericFHIRAdapter as fallback for pilot</w:t>
            </w:r>
          </w:p>
        </w:tc>
      </w:tr>
      <w:tr>
        <w:tc>
          <w:tcPr>
            <w:tcW w:type="dxa" w:w="2928"/>
            <w:shd w:val="clear" w:color="auto" w:fill="FFFFFF"/>
          </w:tcPr>
          <w:p>
            <w:r>
              <w:rPr>
                <w:sz w:val="18"/>
              </w:rPr>
              <w:t>HIPAA BAA with cloud provider</w:t>
            </w:r>
          </w:p>
        </w:tc>
        <w:tc>
          <w:tcPr>
            <w:tcW w:type="dxa" w:w="2928"/>
            <w:shd w:val="clear" w:color="auto" w:fill="FFFFFF"/>
          </w:tcPr>
          <w:p>
            <w:r>
              <w:rPr>
                <w:sz w:val="18"/>
              </w:rPr>
              <w:t>All PHI-adjacent data stores are blocked without BAA</w:t>
            </w:r>
          </w:p>
        </w:tc>
        <w:tc>
          <w:tcPr>
            <w:tcW w:type="dxa" w:w="2928"/>
            <w:shd w:val="clear" w:color="auto" w:fill="FFFFFF"/>
          </w:tcPr>
          <w:p>
            <w:r>
              <w:rPr>
                <w:sz w:val="18"/>
              </w:rPr>
              <w:t>Execute BAA before any Phase 0 infra provisioning</w:t>
            </w:r>
          </w:p>
        </w:tc>
      </w:tr>
      <w:tr>
        <w:tc>
          <w:tcPr>
            <w:tcW w:type="dxa" w:w="2928"/>
            <w:shd w:val="clear" w:color="auto" w:fill="EEF2FF"/>
          </w:tcPr>
          <w:p>
            <w:r>
              <w:rPr>
                <w:sz w:val="18"/>
              </w:rPr>
              <w:t>FDA SaMD classification</w:t>
            </w:r>
          </w:p>
        </w:tc>
        <w:tc>
          <w:tcPr>
            <w:tcW w:type="dxa" w:w="2928"/>
            <w:shd w:val="clear" w:color="auto" w:fill="EEF2FF"/>
          </w:tcPr>
          <w:p>
            <w:r>
              <w:rPr>
                <w:sz w:val="18"/>
              </w:rPr>
              <w:t>CDS risk scores may require 510(k) or De Novo if deemed a medical device</w:t>
            </w:r>
          </w:p>
        </w:tc>
        <w:tc>
          <w:tcPr>
            <w:tcW w:type="dxa" w:w="2928"/>
            <w:shd w:val="clear" w:color="auto" w:fill="EEF2FF"/>
          </w:tcPr>
          <w:p>
            <w:r>
              <w:rPr>
                <w:sz w:val="18"/>
              </w:rPr>
              <w:t>Engage regulatory counsel in Phase 3; design for predicate device strategy</w:t>
            </w:r>
          </w:p>
        </w:tc>
      </w:tr>
      <w:tr>
        <w:tc>
          <w:tcPr>
            <w:tcW w:type="dxa" w:w="2928"/>
            <w:shd w:val="clear" w:color="auto" w:fill="FFFFFF"/>
          </w:tcPr>
          <w:p>
            <w:r>
              <w:rPr>
                <w:sz w:val="18"/>
              </w:rPr>
              <w:t>LLM clinical accuracy</w:t>
            </w:r>
          </w:p>
        </w:tc>
        <w:tc>
          <w:tcPr>
            <w:tcW w:type="dxa" w:w="2928"/>
            <w:shd w:val="clear" w:color="auto" w:fill="FFFFFF"/>
          </w:tcPr>
          <w:p>
            <w:r>
              <w:rPr>
                <w:sz w:val="18"/>
              </w:rPr>
              <w:t>SOAP draft errors could impact patient safety</w:t>
            </w:r>
          </w:p>
        </w:tc>
        <w:tc>
          <w:tcPr>
            <w:tcW w:type="dxa" w:w="2928"/>
            <w:shd w:val="clear" w:color="auto" w:fill="FFFFFF"/>
          </w:tcPr>
          <w:p>
            <w:r>
              <w:rPr>
                <w:sz w:val="18"/>
              </w:rPr>
              <w:t>Clinical pilot validation in Phase 4; human-in-the-loop acceptance gate before write-back</w:t>
            </w:r>
          </w:p>
        </w:tc>
      </w:tr>
      <w:tr>
        <w:tc>
          <w:tcPr>
            <w:tcW w:type="dxa" w:w="2928"/>
            <w:shd w:val="clear" w:color="auto" w:fill="EEF2FF"/>
          </w:tcPr>
          <w:p>
            <w:r>
              <w:rPr>
                <w:sz w:val="18"/>
              </w:rPr>
              <w:t>Device serial number collisions</w:t>
            </w:r>
          </w:p>
        </w:tc>
        <w:tc>
          <w:tcPr>
            <w:tcW w:type="dxa" w:w="2928"/>
            <w:shd w:val="clear" w:color="auto" w:fill="EEF2FF"/>
          </w:tcPr>
          <w:p>
            <w:r>
              <w:rPr>
                <w:sz w:val="18"/>
              </w:rPr>
              <w:t>Two devices with same serial number = incorrect patient binding</w:t>
            </w:r>
          </w:p>
        </w:tc>
        <w:tc>
          <w:tcPr>
            <w:tcW w:type="dxa" w:w="2928"/>
            <w:shd w:val="clear" w:color="auto" w:fill="EEF2FF"/>
          </w:tcPr>
          <w:p>
            <w:r>
              <w:rPr>
                <w:sz w:val="18"/>
              </w:rPr>
              <w:t>Enforce globally unique serial numbers at manufacturing; add uniqueness constraint in DB</w:t>
            </w:r>
          </w:p>
        </w:tc>
      </w:tr>
      <w:tr>
        <w:tc>
          <w:tcPr>
            <w:tcW w:type="dxa" w:w="2928"/>
            <w:shd w:val="clear" w:color="auto" w:fill="FFFFFF"/>
          </w:tcPr>
          <w:p>
            <w:r>
              <w:rPr>
                <w:sz w:val="18"/>
              </w:rPr>
              <w:t>SMART on FHIR token expiry during long sessions</w:t>
            </w:r>
          </w:p>
        </w:tc>
        <w:tc>
          <w:tcPr>
            <w:tcW w:type="dxa" w:w="2928"/>
            <w:shd w:val="clear" w:color="auto" w:fill="FFFFFF"/>
          </w:tcPr>
          <w:p>
            <w:r>
              <w:rPr>
                <w:sz w:val="18"/>
              </w:rPr>
              <w:t>PatientReference lost mid-session; signal observations unkeyed</w:t>
            </w:r>
          </w:p>
        </w:tc>
        <w:tc>
          <w:tcPr>
            <w:tcW w:type="dxa" w:w="2928"/>
            <w:shd w:val="clear" w:color="auto" w:fill="FFFFFF"/>
          </w:tcPr>
          <w:p>
            <w:r>
              <w:rPr>
                <w:sz w:val="18"/>
              </w:rPr>
              <w:t>Implement token refresh in all adapters; emit warning event 5 minutes before expiry</w:t>
            </w:r>
          </w:p>
        </w:tc>
      </w:tr>
    </w:tbl>
    <w:p/>
    <w:p>
      <w:pPr>
        <w:pStyle w:val="Heading2"/>
      </w:pPr>
      <w:r>
        <w:rPr>
          <w:b/>
          <w:color w:val="1F3564"/>
        </w:rPr>
        <w:t>12.4 Delivery Principles</w:t>
      </w:r>
    </w:p>
    <w:p>
      <w:pPr>
        <w:pStyle w:val="ListBullet"/>
        <w:spacing w:after="60"/>
      </w:pPr>
      <w:r>
        <w:rPr>
          <w:sz w:val="20"/>
        </w:rPr>
        <w:t>Ship working software every sprint — no big-bang releases</w:t>
      </w:r>
    </w:p>
    <w:p>
      <w:pPr>
        <w:pStyle w:val="ListBullet"/>
        <w:spacing w:after="60"/>
      </w:pPr>
      <w:r>
        <w:rPr>
          <w:sz w:val="20"/>
        </w:rPr>
        <w:t>Clinical pilot in Gen 2 before any production EMR write-back is enabled</w:t>
      </w:r>
    </w:p>
    <w:p>
      <w:pPr>
        <w:pStyle w:val="ListBullet"/>
        <w:spacing w:after="60"/>
      </w:pPr>
      <w:r>
        <w:rPr>
          <w:sz w:val="20"/>
        </w:rPr>
        <w:t>Security and privacy review gates at end of each phase (not just end of project)</w:t>
      </w:r>
    </w:p>
    <w:p>
      <w:pPr>
        <w:pStyle w:val="ListBullet"/>
        <w:spacing w:after="60"/>
      </w:pPr>
      <w:r>
        <w:rPr>
          <w:sz w:val="20"/>
        </w:rPr>
        <w:t>Each new EMR adapter must pass an integration test suite against a vendor sandbox before production</w:t>
      </w:r>
    </w:p>
    <w:p>
      <w:pPr>
        <w:pStyle w:val="ListBullet"/>
        <w:spacing w:after="60"/>
      </w:pPr>
      <w:r>
        <w:rPr>
          <w:sz w:val="20"/>
        </w:rPr>
        <w:t>LLM outputs must have a human acceptance step — no autonomous EMR writes</w:t>
      </w:r>
    </w:p>
    <w:p>
      <w:pPr>
        <w:pStyle w:val="ListBullet"/>
        <w:spacing w:after="60"/>
      </w:pPr>
      <w:r>
        <w:rPr>
          <w:sz w:val="20"/>
        </w:rPr>
        <w:t>Observability and audit logging must be complete before the phase goes live (not a post-launch task)</w:t>
      </w:r>
    </w:p>
    <w:p/>
    <w:p>
      <w:r>
        <w:br w:type="page"/>
      </w:r>
    </w:p>
    <w:p>
      <w:pPr>
        <w:pStyle w:val="Heading1"/>
      </w:pPr>
      <w:r>
        <w:rPr>
          <w:b/>
          <w:color w:val="1F3564"/>
        </w:rPr>
        <w:t>13. Glossary &amp; Key Terms</w:t>
      </w:r>
    </w:p>
    <w:tbl>
      <w:tblPr>
        <w:tblStyle w:val="TableGrid"/>
        <w:tblW w:type="auto" w:w="0"/>
        <w:jc w:val="left"/>
        <w:tblLook w:firstColumn="1" w:firstRow="1" w:lastColumn="0" w:lastRow="0" w:noHBand="0" w:noVBand="1" w:val="04A0"/>
      </w:tblPr>
      <w:tblGrid>
        <w:gridCol w:w="4392"/>
        <w:gridCol w:w="4392"/>
      </w:tblGrid>
      <w:tr>
        <w:tc>
          <w:tcPr>
            <w:tcW w:type="dxa" w:w="4392"/>
            <w:shd w:val="clear" w:color="auto" w:fill="1F3564"/>
          </w:tcPr>
          <w:p>
            <w:r>
              <w:rPr>
                <w:b/>
                <w:color w:val="FFFFFF"/>
                <w:sz w:val="18"/>
              </w:rPr>
              <w:t>Term</w:t>
            </w:r>
          </w:p>
        </w:tc>
        <w:tc>
          <w:tcPr>
            <w:tcW w:type="dxa" w:w="4392"/>
            <w:shd w:val="clear" w:color="auto" w:fill="1F3564"/>
          </w:tcPr>
          <w:p>
            <w:r>
              <w:rPr>
                <w:b/>
                <w:color w:val="FFFFFF"/>
                <w:sz w:val="18"/>
              </w:rPr>
              <w:t>Definition</w:t>
            </w:r>
          </w:p>
        </w:tc>
      </w:tr>
      <w:tr>
        <w:tc>
          <w:tcPr>
            <w:tcW w:type="dxa" w:w="4392"/>
            <w:shd w:val="clear" w:color="auto" w:fill="FFFFFF"/>
          </w:tcPr>
          <w:p>
            <w:r>
              <w:rPr>
                <w:sz w:val="18"/>
              </w:rPr>
              <w:t>ACL (Anti-Corruption Layer)</w:t>
            </w:r>
          </w:p>
        </w:tc>
        <w:tc>
          <w:tcPr>
            <w:tcW w:type="dxa" w:w="4392"/>
            <w:shd w:val="clear" w:color="auto" w:fill="FFFFFF"/>
          </w:tcPr>
          <w:p>
            <w:r>
              <w:rPr>
                <w:sz w:val="18"/>
              </w:rPr>
              <w:t>Translation layer preventing a downstream context from being corrupted by the upstream model. Used at the EMR integration boundary.</w:t>
            </w:r>
          </w:p>
        </w:tc>
      </w:tr>
      <w:tr>
        <w:tc>
          <w:tcPr>
            <w:tcW w:type="dxa" w:w="4392"/>
            <w:shd w:val="clear" w:color="auto" w:fill="EEF2FF"/>
          </w:tcPr>
          <w:p>
            <w:r>
              <w:rPr>
                <w:sz w:val="18"/>
              </w:rPr>
              <w:t>Baseline</w:t>
            </w:r>
          </w:p>
        </w:tc>
        <w:tc>
          <w:tcPr>
            <w:tcW w:type="dxa" w:w="4392"/>
            <w:shd w:val="clear" w:color="auto" w:fill="EEF2FF"/>
          </w:tcPr>
          <w:p>
            <w:r>
              <w:rPr>
                <w:sz w:val="18"/>
              </w:rPr>
              <w:t>Personal rolling 7-day median per signal per patient, used to compute deviation and personalize risk scoring.</w:t>
            </w:r>
          </w:p>
        </w:tc>
      </w:tr>
      <w:tr>
        <w:tc>
          <w:tcPr>
            <w:tcW w:type="dxa" w:w="4392"/>
            <w:shd w:val="clear" w:color="auto" w:fill="FFFFFF"/>
          </w:tcPr>
          <w:p>
            <w:r>
              <w:rPr>
                <w:sz w:val="18"/>
              </w:rPr>
              <w:t>Bounded Context</w:t>
            </w:r>
          </w:p>
        </w:tc>
        <w:tc>
          <w:tcPr>
            <w:tcW w:type="dxa" w:w="4392"/>
            <w:shd w:val="clear" w:color="auto" w:fill="FFFFFF"/>
          </w:tcPr>
          <w:p>
            <w:r>
              <w:rPr>
                <w:sz w:val="18"/>
              </w:rPr>
              <w:t>DDD pattern — explicit boundary within which a domain model is defined and consistent. Each context owns its own data and logic.</w:t>
            </w:r>
          </w:p>
        </w:tc>
      </w:tr>
      <w:tr>
        <w:tc>
          <w:tcPr>
            <w:tcW w:type="dxa" w:w="4392"/>
            <w:shd w:val="clear" w:color="auto" w:fill="EEF2FF"/>
          </w:tcPr>
          <w:p>
            <w:r>
              <w:rPr>
                <w:sz w:val="18"/>
              </w:rPr>
              <w:t>CDS (Clinical Decision Support)</w:t>
            </w:r>
          </w:p>
        </w:tc>
        <w:tc>
          <w:tcPr>
            <w:tcW w:type="dxa" w:w="4392"/>
            <w:shd w:val="clear" w:color="auto" w:fill="EEF2FF"/>
          </w:tcPr>
          <w:p>
            <w:r>
              <w:rPr>
                <w:sz w:val="18"/>
              </w:rPr>
              <w:t>Platform AI engine — risk scoring, anomaly detection, LLM summaries, SOAP drafts.</w:t>
            </w:r>
          </w:p>
        </w:tc>
      </w:tr>
      <w:tr>
        <w:tc>
          <w:tcPr>
            <w:tcW w:type="dxa" w:w="4392"/>
            <w:shd w:val="clear" w:color="auto" w:fill="FFFFFF"/>
          </w:tcPr>
          <w:p>
            <w:r>
              <w:rPr>
                <w:sz w:val="18"/>
              </w:rPr>
              <w:t>Derived Metric</w:t>
            </w:r>
          </w:p>
        </w:tc>
        <w:tc>
          <w:tcPr>
            <w:tcW w:type="dxa" w:w="4392"/>
            <w:shd w:val="clear" w:color="auto" w:fill="FFFFFF"/>
          </w:tcPr>
          <w:p>
            <w:r>
              <w:rPr>
                <w:sz w:val="18"/>
              </w:rPr>
              <w:t>Computed value from one or more raw signals: oxidative stress score, hypoxia flag, tissue composition index, hemodynamic index, fever flag.</w:t>
            </w:r>
          </w:p>
        </w:tc>
      </w:tr>
      <w:tr>
        <w:tc>
          <w:tcPr>
            <w:tcW w:type="dxa" w:w="4392"/>
            <w:shd w:val="clear" w:color="auto" w:fill="EEF2FF"/>
          </w:tcPr>
          <w:p>
            <w:r>
              <w:rPr>
                <w:sz w:val="18"/>
              </w:rPr>
              <w:t>DevicePatientBinding</w:t>
            </w:r>
          </w:p>
        </w:tc>
        <w:tc>
          <w:tcPr>
            <w:tcW w:type="dxa" w:w="4392"/>
            <w:shd w:val="clear" w:color="auto" w:fill="EEF2FF"/>
          </w:tcPr>
          <w:p>
            <w:r>
              <w:rPr>
                <w:sz w:val="18"/>
              </w:rPr>
              <w:t>Aggregate linking a device serial number to an opaque EMR patient token. Clinician-created at care initiation.</w:t>
            </w:r>
          </w:p>
        </w:tc>
      </w:tr>
      <w:tr>
        <w:tc>
          <w:tcPr>
            <w:tcW w:type="dxa" w:w="4392"/>
            <w:shd w:val="clear" w:color="auto" w:fill="FFFFFF"/>
          </w:tcPr>
          <w:p>
            <w:r>
              <w:rPr>
                <w:sz w:val="18"/>
              </w:rPr>
              <w:t>DevicePatientToken</w:t>
            </w:r>
          </w:p>
        </w:tc>
        <w:tc>
          <w:tcPr>
            <w:tcW w:type="dxa" w:w="4392"/>
            <w:shd w:val="clear" w:color="auto" w:fill="FFFFFF"/>
          </w:tcPr>
          <w:p>
            <w:r>
              <w:rPr>
                <w:sz w:val="18"/>
              </w:rPr>
              <w:t>HMAC-SHA256 hash of (TenantID + FHIR PatientID). Opaque — meaningless without the EMR and tenant secret key.</w:t>
            </w:r>
          </w:p>
        </w:tc>
      </w:tr>
      <w:tr>
        <w:tc>
          <w:tcPr>
            <w:tcW w:type="dxa" w:w="4392"/>
            <w:shd w:val="clear" w:color="auto" w:fill="EEF2FF"/>
          </w:tcPr>
          <w:p>
            <w:r>
              <w:rPr>
                <w:sz w:val="18"/>
              </w:rPr>
              <w:t>FHIR R4</w:t>
            </w:r>
          </w:p>
        </w:tc>
        <w:tc>
          <w:tcPr>
            <w:tcW w:type="dxa" w:w="4392"/>
            <w:shd w:val="clear" w:color="auto" w:fill="EEF2FF"/>
          </w:tcPr>
          <w:p>
            <w:r>
              <w:rPr>
                <w:sz w:val="18"/>
              </w:rPr>
              <w:t>Fast Healthcare Interoperability Resources, Release 4. Current HL7 standard for healthcare data exchange. Mandated by the 21st Century Cures Act.</w:t>
            </w:r>
          </w:p>
        </w:tc>
      </w:tr>
      <w:tr>
        <w:tc>
          <w:tcPr>
            <w:tcW w:type="dxa" w:w="4392"/>
            <w:shd w:val="clear" w:color="auto" w:fill="FFFFFF"/>
          </w:tcPr>
          <w:p>
            <w:r>
              <w:rPr>
                <w:sz w:val="18"/>
              </w:rPr>
              <w:t>HMAC</w:t>
            </w:r>
          </w:p>
        </w:tc>
        <w:tc>
          <w:tcPr>
            <w:tcW w:type="dxa" w:w="4392"/>
            <w:shd w:val="clear" w:color="auto" w:fill="FFFFFF"/>
          </w:tcPr>
          <w:p>
            <w:r>
              <w:rPr>
                <w:sz w:val="18"/>
              </w:rPr>
              <w:t>Hash-based Message Authentication Code. Used to generate the DevicePatientToken — one-way, keyed, tamper-evident.</w:t>
            </w:r>
          </w:p>
        </w:tc>
      </w:tr>
      <w:tr>
        <w:tc>
          <w:tcPr>
            <w:tcW w:type="dxa" w:w="4392"/>
            <w:shd w:val="clear" w:color="auto" w:fill="EEF2FF"/>
          </w:tcPr>
          <w:p>
            <w:r>
              <w:rPr>
                <w:sz w:val="18"/>
              </w:rPr>
              <w:t>IEMRGateway</w:t>
            </w:r>
          </w:p>
        </w:tc>
        <w:tc>
          <w:tcPr>
            <w:tcW w:type="dxa" w:w="4392"/>
            <w:shd w:val="clear" w:color="auto" w:fill="EEF2FF"/>
          </w:tcPr>
          <w:p>
            <w:r>
              <w:rPr>
                <w:sz w:val="18"/>
              </w:rPr>
              <w:t>Port (abstract Python interface) through which the platform communicates with any EMR.</w:t>
            </w:r>
          </w:p>
        </w:tc>
      </w:tr>
      <w:tr>
        <w:tc>
          <w:tcPr>
            <w:tcW w:type="dxa" w:w="4392"/>
            <w:shd w:val="clear" w:color="auto" w:fill="FFFFFF"/>
          </w:tcPr>
          <w:p>
            <w:r>
              <w:rPr>
                <w:sz w:val="18"/>
              </w:rPr>
              <w:t>LOINC</w:t>
            </w:r>
          </w:p>
        </w:tc>
        <w:tc>
          <w:tcPr>
            <w:tcW w:type="dxa" w:w="4392"/>
            <w:shd w:val="clear" w:color="auto" w:fill="FFFFFF"/>
          </w:tcPr>
          <w:p>
            <w:r>
              <w:rPr>
                <w:sz w:val="18"/>
              </w:rPr>
              <w:t>Logical Observation Identifiers Names and Codes. Standard clinical terminology in FHIR Observation resources.</w:t>
            </w:r>
          </w:p>
        </w:tc>
      </w:tr>
      <w:tr>
        <w:tc>
          <w:tcPr>
            <w:tcW w:type="dxa" w:w="4392"/>
            <w:shd w:val="clear" w:color="auto" w:fill="EEF2FF"/>
          </w:tcPr>
          <w:p>
            <w:r>
              <w:rPr>
                <w:sz w:val="18"/>
              </w:rPr>
              <w:t>PatientReference</w:t>
            </w:r>
          </w:p>
        </w:tc>
        <w:tc>
          <w:tcPr>
            <w:tcW w:type="dxa" w:w="4392"/>
            <w:shd w:val="clear" w:color="auto" w:fill="EEF2FF"/>
          </w:tcPr>
          <w:p>
            <w:r>
              <w:rPr>
                <w:sz w:val="18"/>
              </w:rPr>
              <w:t>Opaque FHIR Patient ID from the connected EMR. Session-only — never written to platform database.</w:t>
            </w:r>
          </w:p>
        </w:tc>
      </w:tr>
      <w:tr>
        <w:tc>
          <w:tcPr>
            <w:tcW w:type="dxa" w:w="4392"/>
            <w:shd w:val="clear" w:color="auto" w:fill="FFFFFF"/>
          </w:tcPr>
          <w:p>
            <w:r>
              <w:rPr>
                <w:sz w:val="18"/>
              </w:rPr>
              <w:t>Port &amp; Adapter</w:t>
            </w:r>
          </w:p>
        </w:tc>
        <w:tc>
          <w:tcPr>
            <w:tcW w:type="dxa" w:w="4392"/>
            <w:shd w:val="clear" w:color="auto" w:fill="FFFFFF"/>
          </w:tcPr>
          <w:p>
            <w:r>
              <w:rPr>
                <w:sz w:val="18"/>
              </w:rPr>
              <w:t>Hexagonal Architecture pattern. Port = abstract interface; adapters = vendor-specific implementations.</w:t>
            </w:r>
          </w:p>
        </w:tc>
      </w:tr>
      <w:tr>
        <w:tc>
          <w:tcPr>
            <w:tcW w:type="dxa" w:w="4392"/>
            <w:shd w:val="clear" w:color="auto" w:fill="EEF2FF"/>
          </w:tcPr>
          <w:p>
            <w:r>
              <w:rPr>
                <w:sz w:val="18"/>
              </w:rPr>
              <w:t>Risk Score</w:t>
            </w:r>
          </w:p>
        </w:tc>
        <w:tc>
          <w:tcPr>
            <w:tcW w:type="dxa" w:w="4392"/>
            <w:shd w:val="clear" w:color="auto" w:fill="EEF2FF"/>
          </w:tcPr>
          <w:p>
            <w:r>
              <w:rPr>
                <w:sz w:val="18"/>
              </w:rPr>
              <w:t>0–100 integer from CDS. Tiers: Low (&lt;30), Moderate (30–59), High (60–79), Critical (≥80).</w:t>
            </w:r>
          </w:p>
        </w:tc>
      </w:tr>
      <w:tr>
        <w:tc>
          <w:tcPr>
            <w:tcW w:type="dxa" w:w="4392"/>
            <w:shd w:val="clear" w:color="auto" w:fill="FFFFFF"/>
          </w:tcPr>
          <w:p>
            <w:r>
              <w:rPr>
                <w:sz w:val="18"/>
              </w:rPr>
              <w:t>SaMD</w:t>
            </w:r>
          </w:p>
        </w:tc>
        <w:tc>
          <w:tcPr>
            <w:tcW w:type="dxa" w:w="4392"/>
            <w:shd w:val="clear" w:color="auto" w:fill="FFFFFF"/>
          </w:tcPr>
          <w:p>
            <w:r>
              <w:rPr>
                <w:sz w:val="18"/>
              </w:rPr>
              <w:t>Software as a Medical Device. FDA classification for software that meets the definition of a medical device. Relevant to CDS risk score outputs.</w:t>
            </w:r>
          </w:p>
        </w:tc>
      </w:tr>
      <w:tr>
        <w:tc>
          <w:tcPr>
            <w:tcW w:type="dxa" w:w="4392"/>
            <w:shd w:val="clear" w:color="auto" w:fill="EEF2FF"/>
          </w:tcPr>
          <w:p>
            <w:r>
              <w:rPr>
                <w:sz w:val="18"/>
              </w:rPr>
              <w:t>SerialNumber</w:t>
            </w:r>
          </w:p>
        </w:tc>
        <w:tc>
          <w:tcPr>
            <w:tcW w:type="dxa" w:w="4392"/>
            <w:shd w:val="clear" w:color="auto" w:fill="EEF2FF"/>
          </w:tcPr>
          <w:p>
            <w:r>
              <w:rPr>
                <w:sz w:val="18"/>
              </w:rPr>
              <w:t>Immutable hardware identity of a physical wearable device, assigned at manufacturing.</w:t>
            </w:r>
          </w:p>
        </w:tc>
      </w:tr>
      <w:tr>
        <w:tc>
          <w:tcPr>
            <w:tcW w:type="dxa" w:w="4392"/>
            <w:shd w:val="clear" w:color="auto" w:fill="FFFFFF"/>
          </w:tcPr>
          <w:p>
            <w:r>
              <w:rPr>
                <w:sz w:val="18"/>
              </w:rPr>
              <w:t>SMART on FHIR</w:t>
            </w:r>
          </w:p>
        </w:tc>
        <w:tc>
          <w:tcPr>
            <w:tcW w:type="dxa" w:w="4392"/>
            <w:shd w:val="clear" w:color="auto" w:fill="FFFFFF"/>
          </w:tcPr>
          <w:p>
            <w:r>
              <w:rPr>
                <w:sz w:val="18"/>
              </w:rPr>
              <w:t>Standard OAuth2 authorization framework on top of FHIR. Enables third-party apps to launch inside an EMR with scoped patient context. Mandated by 21st Century Cures Act.</w:t>
            </w:r>
          </w:p>
        </w:tc>
      </w:tr>
      <w:tr>
        <w:tc>
          <w:tcPr>
            <w:tcW w:type="dxa" w:w="4392"/>
            <w:shd w:val="clear" w:color="auto" w:fill="EEF2FF"/>
          </w:tcPr>
          <w:p>
            <w:r>
              <w:rPr>
                <w:sz w:val="18"/>
              </w:rPr>
              <w:t>SOAP Draft</w:t>
            </w:r>
          </w:p>
        </w:tc>
        <w:tc>
          <w:tcPr>
            <w:tcW w:type="dxa" w:w="4392"/>
            <w:shd w:val="clear" w:color="auto" w:fill="EEF2FF"/>
          </w:tcPr>
          <w:p>
            <w:r>
              <w:rPr>
                <w:sz w:val="18"/>
              </w:rPr>
              <w:t>Structured clinical note (Subjective, Objective, Assessment, Plan) pre-populated by LLM from CDS output. Clinician reviews and accepts before EMR write.</w:t>
            </w:r>
          </w:p>
        </w:tc>
      </w:tr>
      <w:tr>
        <w:tc>
          <w:tcPr>
            <w:tcW w:type="dxa" w:w="4392"/>
            <w:shd w:val="clear" w:color="auto" w:fill="FFFFFF"/>
          </w:tcPr>
          <w:p>
            <w:r>
              <w:rPr>
                <w:sz w:val="18"/>
              </w:rPr>
              <w:t>SpO₂</w:t>
            </w:r>
          </w:p>
        </w:tc>
        <w:tc>
          <w:tcPr>
            <w:tcW w:type="dxa" w:w="4392"/>
            <w:shd w:val="clear" w:color="auto" w:fill="FFFFFF"/>
          </w:tcPr>
          <w:p>
            <w:r>
              <w:rPr>
                <w:sz w:val="18"/>
              </w:rPr>
              <w:t>Peripheral oxygen saturation — percentage of hemoglobin bound to oxygen, measured non-invasively.</w:t>
            </w:r>
          </w:p>
        </w:tc>
      </w:tr>
      <w:tr>
        <w:tc>
          <w:tcPr>
            <w:tcW w:type="dxa" w:w="4392"/>
            <w:shd w:val="clear" w:color="auto" w:fill="EEF2FF"/>
          </w:tcPr>
          <w:p>
            <w:r>
              <w:rPr>
                <w:sz w:val="18"/>
              </w:rPr>
              <w:t>WORM</w:t>
            </w:r>
          </w:p>
        </w:tc>
        <w:tc>
          <w:tcPr>
            <w:tcW w:type="dxa" w:w="4392"/>
            <w:shd w:val="clear" w:color="auto" w:fill="EEF2FF"/>
          </w:tcPr>
          <w:p>
            <w:r>
              <w:rPr>
                <w:sz w:val="18"/>
              </w:rPr>
              <w:t>Write Once Read Many — storage policy that prevents modification or deletion of records after writing. Used for audit log compliance.</w:t>
            </w:r>
          </w:p>
        </w:tc>
      </w:tr>
    </w:tbl>
    <w:p/>
    <w:p>
      <w:pPr>
        <w:pStyle w:val="Heading1"/>
      </w:pPr>
      <w:r>
        <w:rPr>
          <w:b/>
          <w:color w:val="1F3564"/>
        </w:rPr>
        <w:t>14. Open Questions &amp; Decisions</w:t>
      </w:r>
    </w:p>
    <w:tbl>
      <w:tblPr>
        <w:tblStyle w:val="TableGrid"/>
        <w:tblW w:type="auto" w:w="0"/>
        <w:jc w:val="left"/>
        <w:tblLook w:firstColumn="1" w:firstRow="1" w:lastColumn="0" w:lastRow="0" w:noHBand="0" w:noVBand="1" w:val="04A0"/>
      </w:tblPr>
      <w:tblGrid>
        <w:gridCol w:w="2196"/>
        <w:gridCol w:w="2196"/>
        <w:gridCol w:w="2196"/>
        <w:gridCol w:w="2196"/>
      </w:tblGrid>
      <w:tr>
        <w:tc>
          <w:tcPr>
            <w:tcW w:type="dxa" w:w="2196"/>
            <w:shd w:val="clear" w:color="auto" w:fill="1F3564"/>
          </w:tcPr>
          <w:p>
            <w:r>
              <w:rPr>
                <w:b/>
                <w:color w:val="FFFFFF"/>
                <w:sz w:val="18"/>
              </w:rPr>
              <w:t>#</w:t>
            </w:r>
          </w:p>
        </w:tc>
        <w:tc>
          <w:tcPr>
            <w:tcW w:type="dxa" w:w="2196"/>
            <w:shd w:val="clear" w:color="auto" w:fill="1F3564"/>
          </w:tcPr>
          <w:p>
            <w:r>
              <w:rPr>
                <w:b/>
                <w:color w:val="FFFFFF"/>
                <w:sz w:val="18"/>
              </w:rPr>
              <w:t>Question</w:t>
            </w:r>
          </w:p>
        </w:tc>
        <w:tc>
          <w:tcPr>
            <w:tcW w:type="dxa" w:w="2196"/>
            <w:shd w:val="clear" w:color="auto" w:fill="1F3564"/>
          </w:tcPr>
          <w:p>
            <w:r>
              <w:rPr>
                <w:b/>
                <w:color w:val="FFFFFF"/>
                <w:sz w:val="18"/>
              </w:rPr>
              <w:t>Owner</w:t>
            </w:r>
          </w:p>
        </w:tc>
        <w:tc>
          <w:tcPr>
            <w:tcW w:type="dxa" w:w="2196"/>
            <w:shd w:val="clear" w:color="auto" w:fill="1F3564"/>
          </w:tcPr>
          <w:p>
            <w:r>
              <w:rPr>
                <w:b/>
                <w:color w:val="FFFFFF"/>
                <w:sz w:val="18"/>
              </w:rPr>
              <w:t>Status</w:t>
            </w:r>
          </w:p>
        </w:tc>
      </w:tr>
      <w:tr>
        <w:tc>
          <w:tcPr>
            <w:tcW w:type="dxa" w:w="2196"/>
            <w:shd w:val="clear" w:color="auto" w:fill="FFFFFF"/>
          </w:tcPr>
          <w:p>
            <w:r>
              <w:rPr>
                <w:sz w:val="18"/>
              </w:rPr>
              <w:t>1</w:t>
            </w:r>
          </w:p>
        </w:tc>
        <w:tc>
          <w:tcPr>
            <w:tcW w:type="dxa" w:w="2196"/>
            <w:shd w:val="clear" w:color="auto" w:fill="FFFFFF"/>
          </w:tcPr>
          <w:p>
            <w:r>
              <w:rPr>
                <w:sz w:val="18"/>
              </w:rPr>
              <w:t>Binding expiry policy: expire at patient discharge, EMR session close, or fixed time window?</w:t>
            </w:r>
          </w:p>
        </w:tc>
        <w:tc>
          <w:tcPr>
            <w:tcW w:type="dxa" w:w="2196"/>
            <w:shd w:val="clear" w:color="auto" w:fill="FFFFFF"/>
          </w:tcPr>
          <w:p>
            <w:r>
              <w:rPr>
                <w:sz w:val="18"/>
              </w:rPr>
              <w:t>Clinical + Platform Arch</w:t>
            </w:r>
          </w:p>
        </w:tc>
        <w:tc>
          <w:tcPr>
            <w:tcW w:type="dxa" w:w="2196"/>
            <w:shd w:val="clear" w:color="auto" w:fill="FFFFFF"/>
          </w:tcPr>
          <w:p>
            <w:r>
              <w:rPr>
                <w:sz w:val="18"/>
              </w:rPr>
              <w:t>Open</w:t>
            </w:r>
          </w:p>
        </w:tc>
      </w:tr>
      <w:tr>
        <w:tc>
          <w:tcPr>
            <w:tcW w:type="dxa" w:w="2196"/>
            <w:shd w:val="clear" w:color="auto" w:fill="EEF2FF"/>
          </w:tcPr>
          <w:p>
            <w:r>
              <w:rPr>
                <w:sz w:val="18"/>
              </w:rPr>
              <w:t>2</w:t>
            </w:r>
          </w:p>
        </w:tc>
        <w:tc>
          <w:tcPr>
            <w:tcW w:type="dxa" w:w="2196"/>
            <w:shd w:val="clear" w:color="auto" w:fill="EEF2FF"/>
          </w:tcPr>
          <w:p>
            <w:r>
              <w:rPr>
                <w:sz w:val="18"/>
              </w:rPr>
              <w:t>Token revocation propagation SLA: how fast must a revoked token be rejected at the adapter?</w:t>
            </w:r>
          </w:p>
        </w:tc>
        <w:tc>
          <w:tcPr>
            <w:tcW w:type="dxa" w:w="2196"/>
            <w:shd w:val="clear" w:color="auto" w:fill="EEF2FF"/>
          </w:tcPr>
          <w:p>
            <w:r>
              <w:rPr>
                <w:sz w:val="18"/>
              </w:rPr>
              <w:t>Platform Arch</w:t>
            </w:r>
          </w:p>
        </w:tc>
        <w:tc>
          <w:tcPr>
            <w:tcW w:type="dxa" w:w="2196"/>
            <w:shd w:val="clear" w:color="auto" w:fill="EEF2FF"/>
          </w:tcPr>
          <w:p>
            <w:r>
              <w:rPr>
                <w:sz w:val="18"/>
              </w:rPr>
              <w:t>Open</w:t>
            </w:r>
          </w:p>
        </w:tc>
      </w:tr>
      <w:tr>
        <w:tc>
          <w:tcPr>
            <w:tcW w:type="dxa" w:w="2196"/>
            <w:shd w:val="clear" w:color="auto" w:fill="FFFFFF"/>
          </w:tcPr>
          <w:p>
            <w:r>
              <w:rPr>
                <w:sz w:val="18"/>
              </w:rPr>
              <w:t>3</w:t>
            </w:r>
          </w:p>
        </w:tc>
        <w:tc>
          <w:tcPr>
            <w:tcW w:type="dxa" w:w="2196"/>
            <w:shd w:val="clear" w:color="auto" w:fill="FFFFFF"/>
          </w:tcPr>
          <w:p>
            <w:r>
              <w:rPr>
                <w:sz w:val="18"/>
              </w:rPr>
              <w:t>Gen 2 LLM selection: Haiku (speed) vs Sonnet (quality) — define latency/quality threshold</w:t>
            </w:r>
          </w:p>
        </w:tc>
        <w:tc>
          <w:tcPr>
            <w:tcW w:type="dxa" w:w="2196"/>
            <w:shd w:val="clear" w:color="auto" w:fill="FFFFFF"/>
          </w:tcPr>
          <w:p>
            <w:r>
              <w:rPr>
                <w:sz w:val="18"/>
              </w:rPr>
              <w:t>CDS Team</w:t>
            </w:r>
          </w:p>
        </w:tc>
        <w:tc>
          <w:tcPr>
            <w:tcW w:type="dxa" w:w="2196"/>
            <w:shd w:val="clear" w:color="auto" w:fill="FFFFFF"/>
          </w:tcPr>
          <w:p>
            <w:r>
              <w:rPr>
                <w:sz w:val="18"/>
              </w:rPr>
              <w:t>Open</w:t>
            </w:r>
          </w:p>
        </w:tc>
      </w:tr>
      <w:tr>
        <w:tc>
          <w:tcPr>
            <w:tcW w:type="dxa" w:w="2196"/>
            <w:shd w:val="clear" w:color="auto" w:fill="EEF2FF"/>
          </w:tcPr>
          <w:p>
            <w:r>
              <w:rPr>
                <w:sz w:val="18"/>
              </w:rPr>
              <w:t>4</w:t>
            </w:r>
          </w:p>
        </w:tc>
        <w:tc>
          <w:tcPr>
            <w:tcW w:type="dxa" w:w="2196"/>
            <w:shd w:val="clear" w:color="auto" w:fill="EEF2FF"/>
          </w:tcPr>
          <w:p>
            <w:r>
              <w:rPr>
                <w:sz w:val="18"/>
              </w:rPr>
              <w:t>SOAP draft acceptance UX: accept inside EMR or platform before write-back?</w:t>
            </w:r>
          </w:p>
        </w:tc>
        <w:tc>
          <w:tcPr>
            <w:tcW w:type="dxa" w:w="2196"/>
            <w:shd w:val="clear" w:color="auto" w:fill="EEF2FF"/>
          </w:tcPr>
          <w:p>
            <w:r>
              <w:rPr>
                <w:sz w:val="18"/>
              </w:rPr>
              <w:t>Clinical UX</w:t>
            </w:r>
          </w:p>
        </w:tc>
        <w:tc>
          <w:tcPr>
            <w:tcW w:type="dxa" w:w="2196"/>
            <w:shd w:val="clear" w:color="auto" w:fill="EEF2FF"/>
          </w:tcPr>
          <w:p>
            <w:r>
              <w:rPr>
                <w:sz w:val="18"/>
              </w:rPr>
              <w:t>Open</w:t>
            </w:r>
          </w:p>
        </w:tc>
      </w:tr>
      <w:tr>
        <w:tc>
          <w:tcPr>
            <w:tcW w:type="dxa" w:w="2196"/>
            <w:shd w:val="clear" w:color="auto" w:fill="FFFFFF"/>
          </w:tcPr>
          <w:p>
            <w:r>
              <w:rPr>
                <w:sz w:val="18"/>
              </w:rPr>
              <w:t>5</w:t>
            </w:r>
          </w:p>
        </w:tc>
        <w:tc>
          <w:tcPr>
            <w:tcW w:type="dxa" w:w="2196"/>
            <w:shd w:val="clear" w:color="auto" w:fill="FFFFFF"/>
          </w:tcPr>
          <w:p>
            <w:r>
              <w:rPr>
                <w:sz w:val="18"/>
              </w:rPr>
              <w:t>Hyperscaler selection: AWS vs Azure — pending infrastructure decision</w:t>
            </w:r>
          </w:p>
        </w:tc>
        <w:tc>
          <w:tcPr>
            <w:tcW w:type="dxa" w:w="2196"/>
            <w:shd w:val="clear" w:color="auto" w:fill="FFFFFF"/>
          </w:tcPr>
          <w:p>
            <w:r>
              <w:rPr>
                <w:sz w:val="18"/>
              </w:rPr>
              <w:t>IT / Cloud Arch</w:t>
            </w:r>
          </w:p>
        </w:tc>
        <w:tc>
          <w:tcPr>
            <w:tcW w:type="dxa" w:w="2196"/>
            <w:shd w:val="clear" w:color="auto" w:fill="FFFFFF"/>
          </w:tcPr>
          <w:p>
            <w:r>
              <w:rPr>
                <w:sz w:val="18"/>
              </w:rPr>
              <w:t>Open</w:t>
            </w:r>
          </w:p>
        </w:tc>
      </w:tr>
      <w:tr>
        <w:tc>
          <w:tcPr>
            <w:tcW w:type="dxa" w:w="2196"/>
            <w:shd w:val="clear" w:color="auto" w:fill="EEF2FF"/>
          </w:tcPr>
          <w:p>
            <w:r>
              <w:rPr>
                <w:sz w:val="18"/>
              </w:rPr>
              <w:t>6</w:t>
            </w:r>
          </w:p>
        </w:tc>
        <w:tc>
          <w:tcPr>
            <w:tcW w:type="dxa" w:w="2196"/>
            <w:shd w:val="clear" w:color="auto" w:fill="EEF2FF"/>
          </w:tcPr>
          <w:p>
            <w:r>
              <w:rPr>
                <w:sz w:val="18"/>
              </w:rPr>
              <w:t>FDA SaMD classification: 510(k) or De Novo for CDS risk score outputs?</w:t>
            </w:r>
          </w:p>
        </w:tc>
        <w:tc>
          <w:tcPr>
            <w:tcW w:type="dxa" w:w="2196"/>
            <w:shd w:val="clear" w:color="auto" w:fill="EEF2FF"/>
          </w:tcPr>
          <w:p>
            <w:r>
              <w:rPr>
                <w:sz w:val="18"/>
              </w:rPr>
              <w:t>Regulatory</w:t>
            </w:r>
          </w:p>
        </w:tc>
        <w:tc>
          <w:tcPr>
            <w:tcW w:type="dxa" w:w="2196"/>
            <w:shd w:val="clear" w:color="auto" w:fill="EEF2FF"/>
          </w:tcPr>
          <w:p>
            <w:r>
              <w:rPr>
                <w:sz w:val="18"/>
              </w:rPr>
              <w:t>Open</w:t>
            </w:r>
          </w:p>
        </w:tc>
      </w:tr>
      <w:tr>
        <w:tc>
          <w:tcPr>
            <w:tcW w:type="dxa" w:w="2196"/>
            <w:shd w:val="clear" w:color="auto" w:fill="FFFFFF"/>
          </w:tcPr>
          <w:p>
            <w:r>
              <w:rPr>
                <w:sz w:val="18"/>
              </w:rPr>
              <w:t>7</w:t>
            </w:r>
          </w:p>
        </w:tc>
        <w:tc>
          <w:tcPr>
            <w:tcW w:type="dxa" w:w="2196"/>
            <w:shd w:val="clear" w:color="auto" w:fill="FFFFFF"/>
          </w:tcPr>
          <w:p>
            <w:r>
              <w:rPr>
                <w:sz w:val="18"/>
              </w:rPr>
              <w:t>React Native vs Flutter for patient mobile app</w:t>
            </w:r>
          </w:p>
        </w:tc>
        <w:tc>
          <w:tcPr>
            <w:tcW w:type="dxa" w:w="2196"/>
            <w:shd w:val="clear" w:color="auto" w:fill="FFFFFF"/>
          </w:tcPr>
          <w:p>
            <w:r>
              <w:rPr>
                <w:sz w:val="18"/>
              </w:rPr>
              <w:t>Mobile Team</w:t>
            </w:r>
          </w:p>
        </w:tc>
        <w:tc>
          <w:tcPr>
            <w:tcW w:type="dxa" w:w="2196"/>
            <w:shd w:val="clear" w:color="auto" w:fill="FFFFFF"/>
          </w:tcPr>
          <w:p>
            <w:r>
              <w:rPr>
                <w:sz w:val="18"/>
              </w:rPr>
              <w:t>Open</w:t>
            </w:r>
          </w:p>
        </w:tc>
      </w:tr>
      <w:tr>
        <w:tc>
          <w:tcPr>
            <w:tcW w:type="dxa" w:w="2196"/>
            <w:shd w:val="clear" w:color="auto" w:fill="EEF2FF"/>
          </w:tcPr>
          <w:p>
            <w:r>
              <w:rPr>
                <w:sz w:val="18"/>
              </w:rPr>
              <w:t>8</w:t>
            </w:r>
          </w:p>
        </w:tc>
        <w:tc>
          <w:tcPr>
            <w:tcW w:type="dxa" w:w="2196"/>
            <w:shd w:val="clear" w:color="auto" w:fill="EEF2FF"/>
          </w:tcPr>
          <w:p>
            <w:r>
              <w:rPr>
                <w:sz w:val="18"/>
              </w:rPr>
              <w:t>Service mesh: Istio (full featured) vs Linkerd (lighter) — depends on team K8s maturity</w:t>
            </w:r>
          </w:p>
        </w:tc>
        <w:tc>
          <w:tcPr>
            <w:tcW w:type="dxa" w:w="2196"/>
            <w:shd w:val="clear" w:color="auto" w:fill="EEF2FF"/>
          </w:tcPr>
          <w:p>
            <w:r>
              <w:rPr>
                <w:sz w:val="18"/>
              </w:rPr>
              <w:t>Platform Arch</w:t>
            </w:r>
          </w:p>
        </w:tc>
        <w:tc>
          <w:tcPr>
            <w:tcW w:type="dxa" w:w="2196"/>
            <w:shd w:val="clear" w:color="auto" w:fill="EEF2FF"/>
          </w:tcPr>
          <w:p>
            <w:r>
              <w:rPr>
                <w:sz w:val="18"/>
              </w:rPr>
              <w:t>Open</w:t>
            </w:r>
          </w:p>
        </w:tc>
      </w:tr>
      <w:tr>
        <w:tc>
          <w:tcPr>
            <w:tcW w:type="dxa" w:w="2196"/>
            <w:shd w:val="clear" w:color="auto" w:fill="FFFFFF"/>
          </w:tcPr>
          <w:p>
            <w:r>
              <w:rPr>
                <w:sz w:val="18"/>
              </w:rPr>
              <w:t>9</w:t>
            </w:r>
          </w:p>
        </w:tc>
        <w:tc>
          <w:tcPr>
            <w:tcW w:type="dxa" w:w="2196"/>
            <w:shd w:val="clear" w:color="auto" w:fill="FFFFFF"/>
          </w:tcPr>
          <w:p>
            <w:r>
              <w:rPr>
                <w:sz w:val="18"/>
              </w:rPr>
              <w:t>Research Analytics: DuckDB (simple) vs Databricks (scale) — depends on cohort size targets</w:t>
            </w:r>
          </w:p>
        </w:tc>
        <w:tc>
          <w:tcPr>
            <w:tcW w:type="dxa" w:w="2196"/>
            <w:shd w:val="clear" w:color="auto" w:fill="FFFFFF"/>
          </w:tcPr>
          <w:p>
            <w:r>
              <w:rPr>
                <w:sz w:val="18"/>
              </w:rPr>
              <w:t>Data Platform</w:t>
            </w:r>
          </w:p>
        </w:tc>
        <w:tc>
          <w:tcPr>
            <w:tcW w:type="dxa" w:w="2196"/>
            <w:shd w:val="clear" w:color="auto" w:fill="FFFFFF"/>
          </w:tcPr>
          <w:p>
            <w:r>
              <w:rPr>
                <w:sz w:val="18"/>
              </w:rPr>
              <w:t>Open</w:t>
            </w:r>
          </w:p>
        </w:tc>
      </w:tr>
      <w:tr>
        <w:tc>
          <w:tcPr>
            <w:tcW w:type="dxa" w:w="2196"/>
            <w:shd w:val="clear" w:color="auto" w:fill="EEF2FF"/>
          </w:tcPr>
          <w:p>
            <w:r>
              <w:rPr>
                <w:sz w:val="18"/>
              </w:rPr>
              <w:t>10</w:t>
            </w:r>
          </w:p>
        </w:tc>
        <w:tc>
          <w:tcPr>
            <w:tcW w:type="dxa" w:w="2196"/>
            <w:shd w:val="clear" w:color="auto" w:fill="EEF2FF"/>
          </w:tcPr>
          <w:p>
            <w:r>
              <w:rPr>
                <w:sz w:val="18"/>
              </w:rPr>
              <w:t>Device serial number uniqueness enforcement: platform-level constraint or manufacturing process?</w:t>
            </w:r>
          </w:p>
        </w:tc>
        <w:tc>
          <w:tcPr>
            <w:tcW w:type="dxa" w:w="2196"/>
            <w:shd w:val="clear" w:color="auto" w:fill="EEF2FF"/>
          </w:tcPr>
          <w:p>
            <w:r>
              <w:rPr>
                <w:sz w:val="18"/>
              </w:rPr>
              <w:t>Device Engineering</w:t>
            </w:r>
          </w:p>
        </w:tc>
        <w:tc>
          <w:tcPr>
            <w:tcW w:type="dxa" w:w="2196"/>
            <w:shd w:val="clear" w:color="auto" w:fill="EEF2FF"/>
          </w:tcPr>
          <w:p>
            <w:r>
              <w:rPr>
                <w:sz w:val="18"/>
              </w:rPr>
              <w:t>Open</w:t>
            </w:r>
          </w:p>
        </w:tc>
      </w:tr>
    </w:tbl>
    <w:p/>
    <w:p>
      <w:r>
        <w:br w:type="page"/>
      </w:r>
    </w:p>
    <w:p>
      <w:pPr>
        <w:pStyle w:val="Heading1"/>
      </w:pPr>
      <w:r>
        <w:rPr>
          <w:b/>
          <w:color w:val="1F3564"/>
        </w:rPr>
        <w:t>Appendix: Architecture Diagrams</w:t>
      </w:r>
    </w:p>
    <w:p>
      <w:pPr>
        <w:spacing w:after="120"/>
      </w:pPr>
      <w:r>
        <w:rPr>
          <w:sz w:val="20"/>
        </w:rPr>
        <w:t>The following diagrams provide visual representations of the platform architecture, capability model, domain design, and data flow. Each diagram is accompanied by a brief explanation of what it shows and how to read it.</w:t>
      </w:r>
    </w:p>
    <w:p>
      <w:r>
        <w:br w:type="page"/>
      </w:r>
    </w:p>
    <w:p>
      <w:pPr>
        <w:pStyle w:val="Heading2"/>
      </w:pPr>
      <w:r>
        <w:rPr>
          <w:b/>
          <w:color w:val="1F3564"/>
        </w:rPr>
        <w:t>Appendix A: Reference Architecture</w:t>
      </w:r>
    </w:p>
    <w:p>
      <w:pPr>
        <w:spacing w:after="120"/>
      </w:pPr>
      <w:r>
        <w:rPr>
          <w:sz w:val="20"/>
        </w:rPr>
        <w:t>The reference architecture organizes the platform into five horizontal layers. Data flows top-to-bottom from the physical device through edge processing, signal intelligence, domain services, and EMR integration to access endpoints. All inter-layer communication is event-driven via Apache Kafka. The five layers are: (1) Device &amp; Edge — IoT capture and transmission; (2) Connectivity &amp; Identity — packet ingestion and device-patient token binding; (3) Processing &amp; Intelligence — 6-signal fusion and AI risk scoring via Claude API; (4) Domain Services — care coordination, research analytics, observability, and audit; (5) Integration &amp; Access — EMR gateway with Port &amp; Adapter pattern, platform web app, and patient mobile app.</w:t>
      </w:r>
    </w:p>
    <w:p>
      <w:pPr>
        <w:jc w:val="left"/>
      </w:pPr>
      <w:r>
        <w:drawing>
          <wp:inline xmlns:a="http://schemas.openxmlformats.org/drawingml/2006/main" xmlns:pic="http://schemas.openxmlformats.org/drawingml/2006/picture">
            <wp:extent cx="5486400" cy="3761232"/>
            <wp:docPr id="1" name="Picture 1"/>
            <wp:cNvGraphicFramePr>
              <a:graphicFrameLocks noChangeAspect="1"/>
            </wp:cNvGraphicFramePr>
            <a:graphic>
              <a:graphicData uri="http://schemas.openxmlformats.org/drawingml/2006/picture">
                <pic:pic>
                  <pic:nvPicPr>
                    <pic:cNvPr id="0" name="reference-architecture.png"/>
                    <pic:cNvPicPr/>
                  </pic:nvPicPr>
                  <pic:blipFill>
                    <a:blip r:embed="rId9"/>
                    <a:stretch>
                      <a:fillRect/>
                    </a:stretch>
                  </pic:blipFill>
                  <pic:spPr>
                    <a:xfrm>
                      <a:off x="0" y="0"/>
                      <a:ext cx="5486400" cy="3761232"/>
                    </a:xfrm>
                    <a:prstGeom prst="rect"/>
                  </pic:spPr>
                </pic:pic>
              </a:graphicData>
            </a:graphic>
          </wp:inline>
        </w:drawing>
      </w:r>
    </w:p>
    <w:p>
      <w:pPr>
        <w:spacing w:after="120"/>
      </w:pPr>
      <w:r>
        <w:rPr>
          <w:i/>
          <w:color w:val="595959"/>
          <w:sz w:val="18"/>
        </w:rPr>
        <w:t>Figure A: Reference Architecture — 5-Layer Platform Model</w:t>
      </w:r>
    </w:p>
    <w:p>
      <w:r>
        <w:br w:type="page"/>
      </w:r>
    </w:p>
    <w:p>
      <w:pPr>
        <w:pStyle w:val="Heading2"/>
      </w:pPr>
      <w:r>
        <w:rPr>
          <w:b/>
          <w:color w:val="1F3564"/>
        </w:rPr>
        <w:t>Appendix B: Persona Capability Model</w:t>
      </w:r>
    </w:p>
    <w:p>
      <w:pPr>
        <w:spacing w:after="120"/>
      </w:pPr>
      <w:r>
        <w:rPr>
          <w:sz w:val="20"/>
        </w:rPr>
        <w:t>The capability model maps platform capabilities across six persona swimlanes (Patient, Clinician, Care Team, Researcher, Hospital Administrator, Corporate Administrator) and three capability rows (View, Act, Manage). Each cell represents a specific capability delivered to that persona across the three device generations. The shared data platform footer (Signal Time-Series, Risk Scores, Audit Log) underpins all personas. This model is the primary tool for scoping per-generation feature sets and prioritizing delivery.</w:t>
      </w:r>
    </w:p>
    <w:p>
      <w:pPr>
        <w:jc w:val="left"/>
      </w:pPr>
      <w:r>
        <w:drawing>
          <wp:inline xmlns:a="http://schemas.openxmlformats.org/drawingml/2006/main" xmlns:pic="http://schemas.openxmlformats.org/drawingml/2006/picture">
            <wp:extent cx="5486400" cy="2307122"/>
            <wp:docPr id="2" name="Picture 2"/>
            <wp:cNvGraphicFramePr>
              <a:graphicFrameLocks noChangeAspect="1"/>
            </wp:cNvGraphicFramePr>
            <a:graphic>
              <a:graphicData uri="http://schemas.openxmlformats.org/drawingml/2006/picture">
                <pic:pic>
                  <pic:nvPicPr>
                    <pic:cNvPr id="0" name="capability-model.png"/>
                    <pic:cNvPicPr/>
                  </pic:nvPicPr>
                  <pic:blipFill>
                    <a:blip r:embed="rId10"/>
                    <a:stretch>
                      <a:fillRect/>
                    </a:stretch>
                  </pic:blipFill>
                  <pic:spPr>
                    <a:xfrm>
                      <a:off x="0" y="0"/>
                      <a:ext cx="5486400" cy="2307122"/>
                    </a:xfrm>
                    <a:prstGeom prst="rect"/>
                  </pic:spPr>
                </pic:pic>
              </a:graphicData>
            </a:graphic>
          </wp:inline>
        </w:drawing>
      </w:r>
    </w:p>
    <w:p>
      <w:pPr>
        <w:spacing w:after="120"/>
      </w:pPr>
      <w:r>
        <w:rPr>
          <w:i/>
          <w:color w:val="595959"/>
          <w:sz w:val="18"/>
        </w:rPr>
        <w:t>Figure B: Persona Capability Model — 6 Personas × 3 Capability Rows</w:t>
      </w:r>
    </w:p>
    <w:p>
      <w:r>
        <w:br w:type="page"/>
      </w:r>
    </w:p>
    <w:p>
      <w:pPr>
        <w:pStyle w:val="Heading2"/>
      </w:pPr>
      <w:r>
        <w:rPr>
          <w:b/>
          <w:color w:val="1F3564"/>
        </w:rPr>
        <w:t>Appendix C: Generational Capability Roadmap</w:t>
      </w:r>
    </w:p>
    <w:p>
      <w:pPr>
        <w:spacing w:after="120"/>
      </w:pPr>
      <w:r>
        <w:rPr>
          <w:sz w:val="20"/>
        </w:rPr>
        <w:t>The generational roadmap defines three sequential capability releases, each tied to the activation of additional sensor signals. Gen 1 (Bio-impedance + Temperature) delivers the foundational monitoring and alerting platform. Gen 2 (+ pH + SpO₂) unlocks AI-driven clinical decision support, SMART on FHIR EMR embedding, and LLM-generated SOAP drafts. Gen 3 (+ Hydrogen Peroxide) completes the full six-signal composite risk model, adds oxidative stress detection, and enables population-scale ML. This phased structure reduces clinical validation scope per release and allows the platform to generate value early while building toward full capability.</w:t>
      </w:r>
    </w:p>
    <w:p>
      <w:pPr>
        <w:jc w:val="left"/>
      </w:pPr>
      <w:r>
        <w:drawing>
          <wp:inline xmlns:a="http://schemas.openxmlformats.org/drawingml/2006/main" xmlns:pic="http://schemas.openxmlformats.org/drawingml/2006/picture">
            <wp:extent cx="5486400" cy="2099900"/>
            <wp:docPr id="3" name="Picture 3"/>
            <wp:cNvGraphicFramePr>
              <a:graphicFrameLocks noChangeAspect="1"/>
            </wp:cNvGraphicFramePr>
            <a:graphic>
              <a:graphicData uri="http://schemas.openxmlformats.org/drawingml/2006/picture">
                <pic:pic>
                  <pic:nvPicPr>
                    <pic:cNvPr id="0" name="device-generations.png"/>
                    <pic:cNvPicPr/>
                  </pic:nvPicPr>
                  <pic:blipFill>
                    <a:blip r:embed="rId11"/>
                    <a:stretch>
                      <a:fillRect/>
                    </a:stretch>
                  </pic:blipFill>
                  <pic:spPr>
                    <a:xfrm>
                      <a:off x="0" y="0"/>
                      <a:ext cx="5486400" cy="2099900"/>
                    </a:xfrm>
                    <a:prstGeom prst="rect"/>
                  </pic:spPr>
                </pic:pic>
              </a:graphicData>
            </a:graphic>
          </wp:inline>
        </w:drawing>
      </w:r>
    </w:p>
    <w:p>
      <w:pPr>
        <w:spacing w:after="120"/>
      </w:pPr>
      <w:r>
        <w:rPr>
          <w:i/>
          <w:color w:val="595959"/>
          <w:sz w:val="18"/>
        </w:rPr>
        <w:t>Figure C: Generational Capability Roadmap — 3 Signal Generations</w:t>
      </w:r>
    </w:p>
    <w:p>
      <w:r>
        <w:br w:type="page"/>
      </w:r>
    </w:p>
    <w:p>
      <w:pPr>
        <w:pStyle w:val="Heading2"/>
      </w:pPr>
      <w:r>
        <w:rPr>
          <w:b/>
          <w:color w:val="1F3564"/>
        </w:rPr>
        <w:t>Appendix D: Domain Map — Bounded Contexts</w:t>
      </w:r>
    </w:p>
    <w:p>
      <w:pPr>
        <w:spacing w:after="120"/>
      </w:pPr>
      <w:r>
        <w:rPr>
          <w:sz w:val="20"/>
        </w:rPr>
        <w:t>The domain map visualizes all eleven bounded contexts and their inter-relationships using Domain-Driven Design (DDD) patterns. Core contexts (Signal Processing, Clinical Decision Support) are shown in red — these represent the competitive differentiator. Supporting contexts (Patient Engagement, Care Coordination, Research Analytics, Population Health, Platform Observability) are shown in yellow. Generic contexts (Device Connectivity, Device Identity &amp; Binding, Audit &amp; Compliance, EMR Integration Gateway) are shown in green. Arrows are labeled with relationship patterns: Customer-Supplier, Published Language, Open Host Service, Conformist, and ACL (Anti-Corruption Layer).</w:t>
      </w:r>
    </w:p>
    <w:p>
      <w:pPr>
        <w:jc w:val="left"/>
      </w:pPr>
      <w:r>
        <w:drawing>
          <wp:inline xmlns:a="http://schemas.openxmlformats.org/drawingml/2006/main" xmlns:pic="http://schemas.openxmlformats.org/drawingml/2006/picture">
            <wp:extent cx="5486400" cy="3293221"/>
            <wp:docPr id="4" name="Picture 4"/>
            <wp:cNvGraphicFramePr>
              <a:graphicFrameLocks noChangeAspect="1"/>
            </wp:cNvGraphicFramePr>
            <a:graphic>
              <a:graphicData uri="http://schemas.openxmlformats.org/drawingml/2006/picture">
                <pic:pic>
                  <pic:nvPicPr>
                    <pic:cNvPr id="0" name="ddd-domain-map.png"/>
                    <pic:cNvPicPr/>
                  </pic:nvPicPr>
                  <pic:blipFill>
                    <a:blip r:embed="rId12"/>
                    <a:stretch>
                      <a:fillRect/>
                    </a:stretch>
                  </pic:blipFill>
                  <pic:spPr>
                    <a:xfrm>
                      <a:off x="0" y="0"/>
                      <a:ext cx="5486400" cy="3293221"/>
                    </a:xfrm>
                    <a:prstGeom prst="rect"/>
                  </pic:spPr>
                </pic:pic>
              </a:graphicData>
            </a:graphic>
          </wp:inline>
        </w:drawing>
      </w:r>
    </w:p>
    <w:p>
      <w:pPr>
        <w:spacing w:after="120"/>
      </w:pPr>
      <w:r>
        <w:rPr>
          <w:i/>
          <w:color w:val="595959"/>
          <w:sz w:val="18"/>
        </w:rPr>
        <w:t>Figure D: DDD Domain Map — 11 Bounded Contexts</w:t>
      </w:r>
    </w:p>
    <w:p>
      <w:r>
        <w:br w:type="page"/>
      </w:r>
    </w:p>
    <w:p>
      <w:pPr>
        <w:pStyle w:val="Heading2"/>
      </w:pPr>
      <w:r>
        <w:rPr>
          <w:b/>
          <w:color w:val="1F3564"/>
        </w:rPr>
        <w:t>Appendix E: Aggregate Class Diagram</w:t>
      </w:r>
    </w:p>
    <w:p>
      <w:pPr>
        <w:spacing w:after="120"/>
      </w:pPr>
      <w:r>
        <w:rPr>
          <w:sz w:val="20"/>
        </w:rPr>
        <w:t>The aggregate class diagram shows the internal structure and relationships of the three primary domain aggregates. SignalObservation (Signal Processing context) contains RawSignals (all six sensor values) and DerivedMetrics (computed clinical indicators), gated by a QualityScore threshold of 0.6. RiskAssessment (CDS context) contains a RiskScore with tier classification, a list of contributing RiskFactors with signal evidence, and an LLM-generated ClinicalSummary. DevicePatientBinding (Device Identity &amp; Binding context) maps a SerialNumber to a write-once DevicePatientToken with EMR vendor, binding clinician, and lifecycle status. Each aggregate is the unit of consistency within its bounded context.</w:t>
      </w:r>
    </w:p>
    <w:p>
      <w:pPr>
        <w:jc w:val="left"/>
      </w:pPr>
      <w:r>
        <w:drawing>
          <wp:inline xmlns:a="http://schemas.openxmlformats.org/drawingml/2006/main" xmlns:pic="http://schemas.openxmlformats.org/drawingml/2006/picture">
            <wp:extent cx="3200400" cy="5970823"/>
            <wp:docPr id="5" name="Picture 5"/>
            <wp:cNvGraphicFramePr>
              <a:graphicFrameLocks noChangeAspect="1"/>
            </wp:cNvGraphicFramePr>
            <a:graphic>
              <a:graphicData uri="http://schemas.openxmlformats.org/drawingml/2006/picture">
                <pic:pic>
                  <pic:nvPicPr>
                    <pic:cNvPr id="0" name="ddd-aggregates.png"/>
                    <pic:cNvPicPr/>
                  </pic:nvPicPr>
                  <pic:blipFill>
                    <a:blip r:embed="rId13"/>
                    <a:stretch>
                      <a:fillRect/>
                    </a:stretch>
                  </pic:blipFill>
                  <pic:spPr>
                    <a:xfrm>
                      <a:off x="0" y="0"/>
                      <a:ext cx="3200400" cy="5970823"/>
                    </a:xfrm>
                    <a:prstGeom prst="rect"/>
                  </pic:spPr>
                </pic:pic>
              </a:graphicData>
            </a:graphic>
          </wp:inline>
        </w:drawing>
      </w:r>
    </w:p>
    <w:p>
      <w:pPr>
        <w:spacing w:after="120"/>
      </w:pPr>
      <w:r>
        <w:rPr>
          <w:i/>
          <w:color w:val="595959"/>
          <w:sz w:val="18"/>
        </w:rPr>
        <w:t>Figure E: Aggregate Class Diagram — 3 Core Aggregates</w:t>
      </w:r>
    </w:p>
    <w:p>
      <w:r>
        <w:br w:type="page"/>
      </w:r>
    </w:p>
    <w:p>
      <w:pPr>
        <w:pStyle w:val="Heading2"/>
      </w:pPr>
      <w:r>
        <w:rPr>
          <w:b/>
          <w:color w:val="1F3564"/>
        </w:rPr>
        <w:t>Appendix F: Domain Events Sequence Diagram</w:t>
      </w:r>
    </w:p>
    <w:p>
      <w:pPr>
        <w:spacing w:after="120"/>
      </w:pPr>
      <w:r>
        <w:rPr>
          <w:sz w:val="20"/>
        </w:rPr>
        <w:t>The sequence diagram traces the end-to-end event flow from device signal transmission through to EMR write-back and audit logging. The critical path is: device transmits → Device Connectivity validates and publishes → Signal Processing derives metrics and raises SignalObservationRecorded → CDS evaluates and raises RiskAssessmentCompleted → Care Coordination creates escalation → EMR Integration Gateway writes risk score and SOAP draft back to the clinician’s EMR. All domain events are simultaneously mirrored to the immutable Audit &amp; Compliance log for compliance and lineage tracking.</w:t>
      </w:r>
    </w:p>
    <w:p>
      <w:pPr>
        <w:jc w:val="left"/>
      </w:pPr>
      <w:r>
        <w:drawing>
          <wp:inline xmlns:a="http://schemas.openxmlformats.org/drawingml/2006/main" xmlns:pic="http://schemas.openxmlformats.org/drawingml/2006/picture">
            <wp:extent cx="5486400" cy="2429516"/>
            <wp:docPr id="6" name="Picture 6"/>
            <wp:cNvGraphicFramePr>
              <a:graphicFrameLocks noChangeAspect="1"/>
            </wp:cNvGraphicFramePr>
            <a:graphic>
              <a:graphicData uri="http://schemas.openxmlformats.org/drawingml/2006/picture">
                <pic:pic>
                  <pic:nvPicPr>
                    <pic:cNvPr id="0" name="ddd-events-sequence.png"/>
                    <pic:cNvPicPr/>
                  </pic:nvPicPr>
                  <pic:blipFill>
                    <a:blip r:embed="rId14"/>
                    <a:stretch>
                      <a:fillRect/>
                    </a:stretch>
                  </pic:blipFill>
                  <pic:spPr>
                    <a:xfrm>
                      <a:off x="0" y="0"/>
                      <a:ext cx="5486400" cy="2429516"/>
                    </a:xfrm>
                    <a:prstGeom prst="rect"/>
                  </pic:spPr>
                </pic:pic>
              </a:graphicData>
            </a:graphic>
          </wp:inline>
        </w:drawing>
      </w:r>
    </w:p>
    <w:p>
      <w:pPr>
        <w:spacing w:after="120"/>
      </w:pPr>
      <w:r>
        <w:rPr>
          <w:i/>
          <w:color w:val="595959"/>
          <w:sz w:val="18"/>
        </w:rPr>
        <w:t>Figure F: Domain Events Sequence — Device to EMR Write-Back</w:t>
      </w:r>
    </w:p>
    <w:p>
      <w:r>
        <w:br w:type="page"/>
      </w:r>
    </w:p>
    <w:p>
      <w:pPr>
        <w:pStyle w:val="Heading2"/>
      </w:pPr>
      <w:r>
        <w:rPr>
          <w:b/>
          <w:color w:val="1F3564"/>
        </w:rPr>
        <w:t>Appendix G: Solution Architecture — Zone View</w:t>
      </w:r>
    </w:p>
    <w:p>
      <w:pPr>
        <w:spacing w:after="120"/>
      </w:pPr>
      <w:r>
        <w:rPr>
          <w:sz w:val="20"/>
        </w:rPr>
        <w:t>The solution architecture presents the platform as five deployment zones with explicit data flow arrows and security boundaries. The Device Zone covers the wearable hardware and edge gateway. The Platform Zone hosts the Kafka event bus and all microservices. The Integration Zone contains the IEMRGateway port and its vendor-specific adapters (Epic, Cerner, Generic FHIR). The Access Zone serves the platform web app, patient mobile app, and EMR-embedded clinician UI. The Compliance Zone holds the WORM audit log, OpenLineage lineage store, and consent registry. Zone boundaries enforce security perimeters and data classification policies consistent with HIPAA requirements.</w:t>
      </w:r>
    </w:p>
    <w:p>
      <w:pPr>
        <w:jc w:val="left"/>
      </w:pPr>
      <w:r>
        <w:drawing>
          <wp:inline xmlns:a="http://schemas.openxmlformats.org/drawingml/2006/main" xmlns:pic="http://schemas.openxmlformats.org/drawingml/2006/picture">
            <wp:extent cx="5486400" cy="3646753"/>
            <wp:docPr id="7" name="Picture 7"/>
            <wp:cNvGraphicFramePr>
              <a:graphicFrameLocks noChangeAspect="1"/>
            </wp:cNvGraphicFramePr>
            <a:graphic>
              <a:graphicData uri="http://schemas.openxmlformats.org/drawingml/2006/picture">
                <pic:pic>
                  <pic:nvPicPr>
                    <pic:cNvPr id="0" name="solution-architecture.png"/>
                    <pic:cNvPicPr/>
                  </pic:nvPicPr>
                  <pic:blipFill>
                    <a:blip r:embed="rId15"/>
                    <a:stretch>
                      <a:fillRect/>
                    </a:stretch>
                  </pic:blipFill>
                  <pic:spPr>
                    <a:xfrm>
                      <a:off x="0" y="0"/>
                      <a:ext cx="5486400" cy="3646753"/>
                    </a:xfrm>
                    <a:prstGeom prst="rect"/>
                  </pic:spPr>
                </pic:pic>
              </a:graphicData>
            </a:graphic>
          </wp:inline>
        </w:drawing>
      </w:r>
    </w:p>
    <w:p>
      <w:pPr>
        <w:spacing w:after="120"/>
      </w:pPr>
      <w:r>
        <w:rPr>
          <w:i/>
          <w:color w:val="595959"/>
          <w:sz w:val="18"/>
        </w:rPr>
        <w:t>Figure G: Solution Architecture — 5 Deployment Zones</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