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6"/>
        </w:rPr>
        <w:t>ABBOTT EPD MARKETING</w:t>
      </w:r>
    </w:p>
    <w:p>
      <w:pPr>
        <w:jc w:val="center"/>
      </w:pPr>
      <w:r>
        <w:rPr>
          <w:b/>
          <w:color w:val="000050"/>
          <w:sz w:val="56"/>
        </w:rPr>
        <w:t>EPD Marketer of the Future</w:t>
      </w:r>
    </w:p>
    <w:p>
      <w:pPr>
        <w:jc w:val="center"/>
      </w:pPr>
      <w:r>
        <w:rPr>
          <w:color w:val="3333AA"/>
          <w:sz w:val="32"/>
        </w:rPr>
        <w:t>Capability PRD: Gap Analysis &amp; Future State Roadmap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Document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 — Investigation for Validation</w:t>
            </w:r>
          </w:p>
        </w:tc>
      </w:tr>
      <w:tr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2026-05-05</w:t>
            </w:r>
          </w:p>
        </w:tc>
      </w:tr>
      <w:tr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— Pending Current State Validation</w:t>
            </w:r>
          </w:p>
        </w:tc>
      </w:tr>
      <w:tr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EPD Architect</w:t>
            </w:r>
          </w:p>
        </w:tc>
      </w:tr>
      <w:tr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Source Documents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Marketer of the Future EPD 15.04.26.pdf | pharma-genai-tool-map[97].pdf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50"/>
          <w:sz w:val="36"/>
        </w:rPr>
        <w:t>1. Executive Summary</w:t>
      </w:r>
    </w:p>
    <w:p>
      <w:r>
        <w:rPr>
          <w:b w:val="0"/>
          <w:color w:val="1A1A1A"/>
          <w:sz w:val="22"/>
        </w:rPr>
        <w:t>Abbott EPD Marketing is transforming from humans using AI tools to AI-empowered strategic orchestrators. This document defines 20 business capabilities across five purpose-led AI agents, maps current state (pending validation), identifies tool options, and outlines a validation workplan before architectural decisions are made.</w:t>
      </w:r>
    </w:p>
    <w:p/>
    <w:p>
      <w:r>
        <w:rPr>
          <w:b/>
          <w:color w:val="1A1A1A"/>
          <w:sz w:val="22"/>
        </w:rPr>
        <w:t>Five systemic gaps drive this transformation:</w:t>
      </w:r>
    </w:p>
    <w:p>
      <w:pPr>
        <w:pStyle w:val="ListBullet"/>
        <w:ind w:left="432"/>
      </w:pPr>
      <w:r>
        <w:rPr>
          <w:color w:val="1A1A1A"/>
          <w:sz w:val="22"/>
        </w:rPr>
        <w:t>Fragmentation — Data, tools, and teams operate in silos with disconnected insight signals.</w:t>
      </w:r>
    </w:p>
    <w:p>
      <w:pPr>
        <w:pStyle w:val="ListBullet"/>
        <w:ind w:left="432"/>
      </w:pPr>
      <w:r>
        <w:rPr>
          <w:color w:val="1A1A1A"/>
          <w:sz w:val="22"/>
        </w:rPr>
        <w:t>Reactive Mode — Planning is static and annual; unable to pivot quickly to market.</w:t>
      </w:r>
    </w:p>
    <w:p>
      <w:pPr>
        <w:pStyle w:val="ListBullet"/>
        <w:ind w:left="432"/>
      </w:pPr>
      <w:r>
        <w:rPr>
          <w:color w:val="1A1A1A"/>
          <w:sz w:val="22"/>
        </w:rPr>
        <w:t>Bottlenecks — Manual production and review cycles create severe delays in output.</w:t>
      </w:r>
    </w:p>
    <w:p>
      <w:pPr>
        <w:pStyle w:val="ListBullet"/>
        <w:ind w:left="432"/>
      </w:pPr>
      <w:r>
        <w:rPr>
          <w:color w:val="1A1A1A"/>
          <w:sz w:val="22"/>
        </w:rPr>
        <w:t>Mass Reach — One-size-fits-all content due to inability to scale variations.</w:t>
      </w:r>
    </w:p>
    <w:p>
      <w:pPr>
        <w:pStyle w:val="ListBullet"/>
        <w:ind w:left="432"/>
      </w:pPr>
      <w:r>
        <w:rPr>
          <w:color w:val="1A1A1A"/>
          <w:sz w:val="22"/>
        </w:rPr>
        <w:t>Compliance Gating — MLR viewed as a gatekeeper rather than an integrated enabler.</w:t>
      </w:r>
    </w:p>
    <w:p/>
    <w:p>
      <w:pPr>
        <w:spacing w:before="120" w:after="120"/>
        <w:ind w:left="576" w:right="576"/>
        <w:shd w:val="clear" w:color="auto" w:fill="000050"/>
      </w:pPr>
      <w:r>
        <w:rPr>
          <w:b/>
          <w:color w:val="FFFFFF"/>
          <w:sz w:val="22"/>
        </w:rPr>
        <w:t xml:space="preserve">  ALICE deployment proof point: brief quality from 6.2 to 8.9/10 | 95% faster execution | 750 days reclaimed | 3 weeks faster to market  </w:t>
      </w:r>
    </w:p>
    <w:p>
      <w:r>
        <w:br w:type="page"/>
      </w:r>
    </w:p>
    <w:p>
      <w:pPr>
        <w:pStyle w:val="Heading1"/>
      </w:pPr>
      <w:r>
        <w:rPr>
          <w:color w:val="000050"/>
          <w:sz w:val="36"/>
        </w:rPr>
        <w:t>2. Five Purpose-Led AI Agents</w:t>
      </w:r>
    </w:p>
    <w:p>
      <w:r>
        <w:rPr>
          <w:b w:val="0"/>
          <w:color w:val="1A1A1A"/>
          <w:sz w:val="22"/>
        </w:rPr>
        <w:t>The following five agents form an interconnected intelligence ecosystem covering the full EPD marketing lifecycle. Each agent targets specific systemic gaps.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Agent</w:t>
            </w:r>
          </w:p>
        </w:tc>
        <w:tc>
          <w:tcPr>
            <w:tcW w:type="dxa" w:w="3168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Full Name</w:t>
            </w:r>
          </w:p>
        </w:tc>
        <w:tc>
          <w:tcPr>
            <w:tcW w:type="dxa" w:w="57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Core Job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Gaps Addressed</w:t>
            </w:r>
          </w:p>
        </w:tc>
      </w:tr>
      <w:tr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3168"/>
          </w:tcPr>
          <w:p>
            <w:r>
              <w:rPr>
                <w:color w:val="1A1A1A"/>
                <w:sz w:val="20"/>
              </w:rPr>
              <w:t>AI-Led Intelligent Creative Engine</w:t>
            </w:r>
          </w:p>
        </w:tc>
        <w:tc>
          <w:tcPr>
            <w:tcW w:type="dxa" w:w="5760"/>
          </w:tcPr>
          <w:p>
            <w:r>
              <w:rPr>
                <w:color w:val="1A1A1A"/>
                <w:sz w:val="20"/>
              </w:rPr>
              <w:t>Brief optimization, concept scoring, persona-targeted creative at scale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Bottlenecks, Mass Reach</w:t>
            </w:r>
          </w:p>
        </w:tc>
      </w:tr>
      <w:tr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3168"/>
          </w:tcPr>
          <w:p>
            <w:r>
              <w:rPr>
                <w:color w:val="1A1A1A"/>
                <w:sz w:val="20"/>
              </w:rPr>
              <w:t>Brand Strategy Planning System</w:t>
            </w:r>
          </w:p>
        </w:tc>
        <w:tc>
          <w:tcPr>
            <w:tcW w:type="dxa" w:w="5760"/>
          </w:tcPr>
          <w:p>
            <w:r>
              <w:rPr>
                <w:color w:val="1A1A1A"/>
                <w:sz w:val="20"/>
              </w:rPr>
              <w:t>Global brand plan, regional localization, market archetype navigation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Fragmentation, Reactive Mode</w:t>
            </w:r>
          </w:p>
        </w:tc>
      </w:tr>
      <w:tr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3168"/>
          </w:tcPr>
          <w:p>
            <w:r>
              <w:rPr>
                <w:color w:val="1A1A1A"/>
                <w:sz w:val="20"/>
              </w:rPr>
              <w:t>Content Lifecycle Management Agent</w:t>
            </w:r>
          </w:p>
        </w:tc>
        <w:tc>
          <w:tcPr>
            <w:tcW w:type="dxa" w:w="5760"/>
          </w:tcPr>
          <w:p>
            <w:r>
              <w:rPr>
                <w:color w:val="1A1A1A"/>
                <w:sz w:val="20"/>
              </w:rPr>
              <w:t>Modular assets, MLR acceleration, pre-launch content testing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Bottlenecks, Compliance Gating</w:t>
            </w:r>
          </w:p>
        </w:tc>
      </w:tr>
      <w:tr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3168"/>
          </w:tcPr>
          <w:p>
            <w:r>
              <w:rPr>
                <w:color w:val="1A1A1A"/>
                <w:sz w:val="20"/>
              </w:rPr>
              <w:t>Intelligent Customer Engagement Agent</w:t>
            </w:r>
          </w:p>
        </w:tc>
        <w:tc>
          <w:tcPr>
            <w:tcW w:type="dxa" w:w="5760"/>
          </w:tcPr>
          <w:p>
            <w:r>
              <w:rPr>
                <w:color w:val="1A1A1A"/>
                <w:sz w:val="20"/>
              </w:rPr>
              <w:t>NBA, HCP segmentation, omnichannel personalization, patient engagement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Mass Reach, Fragmentation</w:t>
            </w:r>
          </w:p>
        </w:tc>
      </w:tr>
      <w:tr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3168"/>
          </w:tcPr>
          <w:p>
            <w:r>
              <w:rPr>
                <w:color w:val="1A1A1A"/>
                <w:sz w:val="20"/>
              </w:rPr>
              <w:t>AI-Powered Market Access Agent</w:t>
            </w:r>
          </w:p>
        </w:tc>
        <w:tc>
          <w:tcPr>
            <w:tcW w:type="dxa" w:w="5760"/>
          </w:tcPr>
          <w:p>
            <w:r>
              <w:rPr>
                <w:color w:val="1A1A1A"/>
                <w:sz w:val="20"/>
              </w:rPr>
              <w:t>Competitive intelligence, HTA dossiers, patient support automation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Reactive Mode, Compliance Gating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50"/>
          <w:sz w:val="36"/>
        </w:rPr>
        <w:t>3. Capability Gap Analysis</w:t>
      </w:r>
    </w:p>
    <w:p>
      <w:r>
        <w:rPr>
          <w:b w:val="0"/>
          <w:color w:val="1A1A1A"/>
          <w:sz w:val="22"/>
        </w:rPr>
        <w:t>The table below maps all 20 capabilities across the five agents. Current state tools are marked as 'Investigation for Validation' — a tool inventory discovery workplan must be completed before confirmed gap classification. See Section 5 for the validation workplan.</w:t>
      </w:r>
    </w:p>
    <w:p/>
    <w:p>
      <w:pPr>
        <w:pStyle w:val="Heading2"/>
      </w:pPr>
      <w:r>
        <w:rPr>
          <w:color w:val="3333AA"/>
          <w:sz w:val="28"/>
        </w:rPr>
        <w:t>3.1  ALICE — Creative Excellence</w:t>
      </w:r>
    </w:p>
    <w:p>
      <w:r>
        <w:rPr>
          <w:b w:val="0"/>
          <w:color w:val="1A1A1A"/>
          <w:sz w:val="22"/>
        </w:rPr>
        <w:t>AI-Led Intelligent Creative Engine: brief optimization, concept scoring, persona-targeted creative at scale</w:t>
      </w:r>
    </w:p>
    <w:p/>
    <w:p>
      <w:r>
        <w:rPr>
          <w:b/>
          <w:color w:val="1A1A1A"/>
          <w:sz w:val="22"/>
        </w:rPr>
        <w:t>Known Pain Points:</w:t>
      </w:r>
    </w:p>
    <w:p>
      <w:pPr>
        <w:pStyle w:val="ListBullet"/>
        <w:ind w:left="432"/>
      </w:pPr>
      <w:r>
        <w:rPr>
          <w:color w:val="1A1A1A"/>
          <w:sz w:val="22"/>
        </w:rPr>
        <w:t>Manual, inconsistent creative briefs (agency-dependent, high cost, long lead times)</w:t>
      </w:r>
    </w:p>
    <w:p>
      <w:pPr>
        <w:pStyle w:val="ListBullet"/>
        <w:ind w:left="432"/>
      </w:pPr>
      <w:r>
        <w:rPr>
          <w:color w:val="1A1A1A"/>
          <w:sz w:val="22"/>
        </w:rPr>
        <w:t>3–5 day brief cycle with 4–6 revision cycles</w:t>
      </w:r>
    </w:p>
    <w:p>
      <w:pPr>
        <w:pStyle w:val="ListBullet"/>
        <w:ind w:left="432"/>
      </w:pPr>
      <w:r>
        <w:rPr>
          <w:color w:val="1A1A1A"/>
          <w:sz w:val="22"/>
        </w:rPr>
        <w:t>Intuition-based judgments with limited localization</w:t>
      </w:r>
    </w:p>
    <w:p>
      <w:pPr>
        <w:pStyle w:val="ListBullet"/>
        <w:ind w:left="432"/>
      </w:pPr>
      <w:r>
        <w:rPr>
          <w:color w:val="1A1A1A"/>
          <w:sz w:val="22"/>
        </w:rPr>
        <w:t>Linear campaign rollouts, slow time to market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Capability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Current State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Future Tool Options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 Status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Creative Generation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Generate brand-safe images, video, and modular assets at scale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Adobe Firefly / GenStudio (Market Leader)</w:t>
              <w:br/>
              <w:t>Midjourney / Runway Gen-4 (Emerging)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Brief Intelligence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Auto-optimize creative briefs; score concepts against effectiveness benchmarks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Persado (Market Leader)</w:t>
              <w:br/>
              <w:t>Jasper AI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Copy &amp; Claim Generation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Generate pharma-compliant copy variants with brand voice guardrails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Writer.com (Market Leader)</w:t>
              <w:br/>
              <w:t>Jasper AI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Creative Ops &amp; Workflow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Connect brief intake to asset production with automated routing and review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Adobe Workfront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</w:tbl>
    <w:p/>
    <w:p>
      <w:pPr>
        <w:pStyle w:val="Heading2"/>
      </w:pPr>
      <w:r>
        <w:rPr>
          <w:color w:val="3333AA"/>
          <w:sz w:val="28"/>
        </w:rPr>
        <w:t>3.2  BRANDS — Brand Strategy</w:t>
      </w:r>
    </w:p>
    <w:p>
      <w:r>
        <w:rPr>
          <w:b w:val="0"/>
          <w:color w:val="1A1A1A"/>
          <w:sz w:val="22"/>
        </w:rPr>
        <w:t>Brand Strategy Planning System: builds global brand plan, localizes for markets, deploys at scale</w:t>
      </w:r>
    </w:p>
    <w:p/>
    <w:p>
      <w:r>
        <w:rPr>
          <w:b/>
          <w:color w:val="1A1A1A"/>
          <w:sz w:val="22"/>
        </w:rPr>
        <w:t>Known Pain Points:</w:t>
      </w:r>
    </w:p>
    <w:p>
      <w:pPr>
        <w:pStyle w:val="ListBullet"/>
        <w:ind w:left="432"/>
      </w:pPr>
      <w:r>
        <w:rPr>
          <w:color w:val="1A1A1A"/>
          <w:sz w:val="22"/>
        </w:rPr>
        <w:t>Static insights from fragmented data sources</w:t>
      </w:r>
    </w:p>
    <w:p>
      <w:pPr>
        <w:pStyle w:val="ListBullet"/>
        <w:ind w:left="432"/>
      </w:pPr>
      <w:r>
        <w:rPr>
          <w:color w:val="1A1A1A"/>
          <w:sz w:val="22"/>
        </w:rPr>
        <w:t>Resource-intensive 2–3 month brand workshops</w:t>
      </w:r>
    </w:p>
    <w:p>
      <w:pPr>
        <w:pStyle w:val="ListBullet"/>
        <w:ind w:left="432"/>
      </w:pPr>
      <w:r>
        <w:rPr>
          <w:color w:val="1A1A1A"/>
          <w:sz w:val="22"/>
        </w:rPr>
        <w:t>Annual brand plans with limited adaptability to market changes</w:t>
      </w:r>
    </w:p>
    <w:p>
      <w:pPr>
        <w:pStyle w:val="ListBullet"/>
        <w:ind w:left="432"/>
      </w:pPr>
      <w:r>
        <w:rPr>
          <w:color w:val="1A1A1A"/>
          <w:sz w:val="22"/>
        </w:rPr>
        <w:t>Intuition-based judgments rather than data-driven decisions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Capability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Current State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Future Tool Options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 Status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Market Intelligence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Synthesize research, competitive intel, HCP/patient sentiment into brand strategy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Deepsights (Market Leader)</w:t>
              <w:br/>
              <w:t>IQVIA HCP Data + AI Insights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Social Listening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Real-time brand perception monitoring across HCP and patient communities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Brandwatch / Synthesio (Market Leader)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Commercial Strategy Modeling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Scenario modeling, portfolio planning, and market archetype analysis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McKinsey Lilli / ZS ZAIDYN (Emerging)</w:t>
              <w:br/>
              <w:t>Salesforce Einstein LS Cloud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Synthetic Research / Digital Twins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Generate synthetic HCP &amp; patient personas for rapid message testing without traditional research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Synthetic Audiences / Digital Twins (Emerging)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</w:tbl>
    <w:p/>
    <w:p>
      <w:pPr>
        <w:pStyle w:val="Heading2"/>
      </w:pPr>
      <w:r>
        <w:rPr>
          <w:color w:val="3333AA"/>
          <w:sz w:val="28"/>
        </w:rPr>
        <w:t>3.3  CRAFTS — Content Excellence</w:t>
      </w:r>
    </w:p>
    <w:p>
      <w:r>
        <w:rPr>
          <w:b w:val="0"/>
          <w:color w:val="1A1A1A"/>
          <w:sz w:val="22"/>
        </w:rPr>
        <w:t>Content Lifecycle Management Agent: conceives strategy, renders modular assets, manages MLR, tests before launch</w:t>
      </w:r>
    </w:p>
    <w:p/>
    <w:p>
      <w:r>
        <w:rPr>
          <w:b/>
          <w:color w:val="1A1A1A"/>
          <w:sz w:val="22"/>
        </w:rPr>
        <w:t>Known Pain Points:</w:t>
      </w:r>
    </w:p>
    <w:p>
      <w:pPr>
        <w:pStyle w:val="ListBullet"/>
        <w:ind w:left="432"/>
      </w:pPr>
      <w:r>
        <w:rPr>
          <w:color w:val="1A1A1A"/>
          <w:sz w:val="22"/>
        </w:rPr>
        <w:t>Slow MLR reviews due to manual coordination bottlenecks</w:t>
      </w:r>
    </w:p>
    <w:p>
      <w:pPr>
        <w:pStyle w:val="ListBullet"/>
        <w:ind w:left="432"/>
      </w:pPr>
      <w:r>
        <w:rPr>
          <w:color w:val="1A1A1A"/>
          <w:sz w:val="22"/>
        </w:rPr>
        <w:t>Linear campaign rollouts — asset-based, not customer journey-based</w:t>
      </w:r>
    </w:p>
    <w:p>
      <w:pPr>
        <w:pStyle w:val="ListBullet"/>
        <w:ind w:left="432"/>
      </w:pPr>
      <w:r>
        <w:rPr>
          <w:color w:val="1A1A1A"/>
          <w:sz w:val="22"/>
        </w:rPr>
        <w:t>One-size-fits-all campaigns, no content variation at scale</w:t>
      </w:r>
    </w:p>
    <w:p>
      <w:pPr>
        <w:pStyle w:val="ListBullet"/>
        <w:ind w:left="432"/>
      </w:pPr>
      <w:r>
        <w:rPr>
          <w:color w:val="1A1A1A"/>
          <w:sz w:val="22"/>
        </w:rPr>
        <w:t>Compliance viewed as a gatekeeper, not an integrated enabler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Capability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Current State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Future Tool Options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 Status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MLR Review &amp; Compliance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AI-assisted pre-review, claim checking, citation linking, risk flagging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Veeva Vault PromoMats + AI Agents (MLR-Critical)</w:t>
              <w:br/>
              <w:t>Papercurve (Emerging)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Compliance Detection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Auto-detect non-compliant claims and flag risk in global content audits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Indegene AI Compliance Engine (MLR-Critical)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Modular Content Creation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Generate claim-safe modular content blocks for multi-channel asset rendering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Writer.com (Market Leader)</w:t>
              <w:br/>
              <w:t>Adobe Experience Manager + Firefly (Market Leader)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Content Testing &amp; Optimization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A/B and multivariate testing for HCP-facing digital content before mass go-live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Optimizely / VWO AI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</w:tbl>
    <w:p/>
    <w:p>
      <w:pPr>
        <w:pStyle w:val="Heading2"/>
      </w:pPr>
      <w:r>
        <w:rPr>
          <w:color w:val="3333AA"/>
          <w:sz w:val="28"/>
        </w:rPr>
        <w:t>3.4  SPARK — Customer Engagement</w:t>
      </w:r>
    </w:p>
    <w:p>
      <w:r>
        <w:rPr>
          <w:b w:val="0"/>
          <w:color w:val="1A1A1A"/>
          <w:sz w:val="22"/>
        </w:rPr>
        <w:t>Intelligent Customer Engagement Agent: segments audiences, prioritizes targets, activates channels, routes personalized journeys</w:t>
      </w:r>
    </w:p>
    <w:p/>
    <w:p>
      <w:r>
        <w:rPr>
          <w:b/>
          <w:color w:val="1A1A1A"/>
          <w:sz w:val="22"/>
        </w:rPr>
        <w:t>Known Pain Points:</w:t>
      </w:r>
    </w:p>
    <w:p>
      <w:pPr>
        <w:pStyle w:val="ListBullet"/>
        <w:ind w:left="432"/>
      </w:pPr>
      <w:r>
        <w:rPr>
          <w:color w:val="1A1A1A"/>
          <w:sz w:val="22"/>
        </w:rPr>
        <w:t>Mass reach — one-size-fits-all content, unable to scale personalization</w:t>
      </w:r>
    </w:p>
    <w:p>
      <w:pPr>
        <w:pStyle w:val="ListBullet"/>
        <w:ind w:left="432"/>
      </w:pPr>
      <w:r>
        <w:rPr>
          <w:color w:val="1A1A1A"/>
          <w:sz w:val="22"/>
        </w:rPr>
        <w:t>Broad segments, siloed data, no real-time signal processing</w:t>
      </w:r>
    </w:p>
    <w:p>
      <w:pPr>
        <w:pStyle w:val="ListBullet"/>
        <w:ind w:left="432"/>
      </w:pPr>
      <w:r>
        <w:rPr>
          <w:color w:val="1A1A1A"/>
          <w:sz w:val="22"/>
        </w:rPr>
        <w:t>Reactive planning mode — static, not responsive to market dynamics</w:t>
      </w:r>
    </w:p>
    <w:p>
      <w:pPr>
        <w:pStyle w:val="ListBullet"/>
        <w:ind w:left="432"/>
      </w:pPr>
      <w:r>
        <w:rPr>
          <w:color w:val="1A1A1A"/>
          <w:sz w:val="22"/>
        </w:rPr>
        <w:t>Disconnected tools preventing unified HCP and patient journeys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Capability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Current State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Future Tool Options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 Status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Next-Best-Action (NBA)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AI-driven field suggestions for rep interactions; HCP pre-call intelligence and rep coaching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Aktana / PharmaForceIQ (Market Leader, merged Jan 2026)</w:t>
              <w:br/>
              <w:t>Verix Sage (Emerging)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CRM &amp; HCP Journey Orchestration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Einstein AI-powered HCP segmentation, behavioral analytics, and omnichannel campaign delivery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Veeva Vault CRM AI Agents (Market Leader)</w:t>
              <w:br/>
              <w:t>Salesforce Life Sciences Cloud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Patient Engagement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Conversational AI handling HCP/patient queries on dosing, side effects, and 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Conversa Health (Emerging)</w:t>
              <w:br/>
              <w:t>Adobe Sensei / Marketing Cloud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Omnichannel Personalization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Real-time content personalization and send-time optimization across email, web, and field channels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Adobe Sensei / Marketing Cloud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</w:tbl>
    <w:p/>
    <w:p>
      <w:pPr>
        <w:pStyle w:val="Heading2"/>
      </w:pPr>
      <w:r>
        <w:rPr>
          <w:color w:val="3333AA"/>
          <w:sz w:val="28"/>
        </w:rPr>
        <w:t>3.5  ACCESS — Market Access</w:t>
      </w:r>
    </w:p>
    <w:p>
      <w:r>
        <w:rPr>
          <w:b w:val="0"/>
          <w:color w:val="1A1A1A"/>
          <w:sz w:val="22"/>
        </w:rPr>
        <w:t>AI-Powered Market Access Agent: analyzes competition, builds value dossiers, simulates economic models, supports patient programs</w:t>
      </w:r>
    </w:p>
    <w:p/>
    <w:p>
      <w:r>
        <w:rPr>
          <w:b/>
          <w:color w:val="1A1A1A"/>
          <w:sz w:val="22"/>
        </w:rPr>
        <w:t>Known Pain Points:</w:t>
      </w:r>
    </w:p>
    <w:p>
      <w:pPr>
        <w:pStyle w:val="ListBullet"/>
        <w:ind w:left="432"/>
      </w:pPr>
      <w:r>
        <w:rPr>
          <w:color w:val="1A1A1A"/>
          <w:sz w:val="22"/>
        </w:rPr>
        <w:t>Reactive payer response — post-campaign analysis with limited actionability</w:t>
      </w:r>
    </w:p>
    <w:p>
      <w:pPr>
        <w:pStyle w:val="ListBullet"/>
        <w:ind w:left="432"/>
      </w:pPr>
      <w:r>
        <w:rPr>
          <w:color w:val="1A1A1A"/>
          <w:sz w:val="22"/>
        </w:rPr>
        <w:t>Siloed data and quantitative-only measurement</w:t>
      </w:r>
    </w:p>
    <w:p>
      <w:pPr>
        <w:pStyle w:val="ListBullet"/>
        <w:ind w:left="432"/>
      </w:pPr>
      <w:r>
        <w:rPr>
          <w:color w:val="1A1A1A"/>
          <w:sz w:val="22"/>
        </w:rPr>
        <w:t>Manual HTA dossier and economic model preparation (months, not weeks)</w:t>
      </w:r>
    </w:p>
    <w:p>
      <w:pPr>
        <w:pStyle w:val="ListBullet"/>
        <w:ind w:left="432"/>
      </w:pPr>
      <w:r>
        <w:rPr>
          <w:color w:val="1A1A1A"/>
          <w:sz w:val="22"/>
        </w:rPr>
        <w:t>Compliance managed separately from market access strategy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Capability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Current State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Future Tool Options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Gap Status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Competitive Intelligence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Monitor competitor launches, payer decisions, and access signals in real time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IQVIA Market Edge AI (Market Leader)</w:t>
              <w:br/>
              <w:t>Crayon / Klue AI (Emerging)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HTA &amp; Value Dossier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Build and simulate economic value dossiers, ICER models, HTA submission narratives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Payer Sciences / ZS ZAIDYN Access (Emerging)</w:t>
              <w:br/>
              <w:t>Avalere AI / Inovalon (Core Enablement)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Patient Support Programs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Automate copay, prior authorization, and patient assistance program operations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ConnectiveRx AI Platform (Market Leader)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  <w:tr>
        <w:tc>
          <w:tcPr>
            <w:tcW w:type="dxa" w:w="432"/>
          </w:tcPr>
          <w:p>
            <w:r>
              <w:rPr>
                <w:color w:val="1A1A1A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Regulatory &amp; Access Compliance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Scan content for access-related risk, OPDP compliance exposure, and global claim audit trails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Investigation for Validation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RegASK / Veripharm (MLR-Critical)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TBD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50"/>
          <w:sz w:val="36"/>
        </w:rPr>
        <w:t>4. Tool Classification Guide</w:t>
      </w:r>
    </w:p>
    <w:p>
      <w:r>
        <w:rPr>
          <w:b w:val="0"/>
          <w:color w:val="1A1A1A"/>
          <w:sz w:val="22"/>
        </w:rPr>
        <w:t>Tools are classified by adoption readiness to guide sequencing of evaluation and procurement.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Classification</w:t>
            </w:r>
          </w:p>
        </w:tc>
        <w:tc>
          <w:tcPr>
            <w:tcW w:type="dxa" w:w="50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Definition</w:t>
            </w:r>
          </w:p>
        </w:tc>
        <w:tc>
          <w:tcPr>
            <w:tcW w:type="dxa" w:w="648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Examples from This PRD</w:t>
            </w:r>
          </w:p>
        </w:tc>
      </w:tr>
      <w:tr>
        <w:tc>
          <w:tcPr>
            <w:tcW w:type="dxa" w:w="2160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040"/>
          </w:tcPr>
          <w:p>
            <w:r>
              <w:rPr>
                <w:color w:val="1A1A1A"/>
                <w:sz w:val="20"/>
              </w:rPr>
              <w:t>Proven at scale in pharma; highest confidence for Abbott EPD adoption</w:t>
            </w:r>
          </w:p>
        </w:tc>
        <w:tc>
          <w:tcPr>
            <w:tcW w:type="dxa" w:w="6480"/>
          </w:tcPr>
          <w:p>
            <w:r>
              <w:rPr>
                <w:color w:val="1A1A1A"/>
                <w:sz w:val="20"/>
              </w:rPr>
              <w:t>Persado, Writer.com, Adobe Firefly, Aktana/PharmaForceIQ, IQVIA Market Edge AI, ConnectiveRx</w:t>
            </w:r>
          </w:p>
        </w:tc>
      </w:tr>
      <w:tr>
        <w:tc>
          <w:tcPr>
            <w:tcW w:type="dxa" w:w="2160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040"/>
          </w:tcPr>
          <w:p>
            <w:r>
              <w:rPr>
                <w:color w:val="1A1A1A"/>
                <w:sz w:val="20"/>
              </w:rPr>
              <w:t>Strong platforms with AI features; may already be licensed at Abbott</w:t>
            </w:r>
          </w:p>
        </w:tc>
        <w:tc>
          <w:tcPr>
            <w:tcW w:type="dxa" w:w="6480"/>
          </w:tcPr>
          <w:p>
            <w:r>
              <w:rPr>
                <w:color w:val="1A1A1A"/>
                <w:sz w:val="20"/>
              </w:rPr>
              <w:t>Salesforce Einstein LS Cloud, Adobe Sensei/Marketing Cloud, Veeva Vault CRM, Optimizely</w:t>
            </w:r>
          </w:p>
        </w:tc>
      </w:tr>
      <w:tr>
        <w:tc>
          <w:tcPr>
            <w:tcW w:type="dxa" w:w="2160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040"/>
          </w:tcPr>
          <w:p>
            <w:r>
              <w:rPr>
                <w:color w:val="1A1A1A"/>
                <w:sz w:val="20"/>
              </w:rPr>
              <w:t>High-potential 2026 tools; validate before committing; strong ROI signals</w:t>
            </w:r>
          </w:p>
        </w:tc>
        <w:tc>
          <w:tcPr>
            <w:tcW w:type="dxa" w:w="6480"/>
          </w:tcPr>
          <w:p>
            <w:r>
              <w:rPr>
                <w:color w:val="1A1A1A"/>
                <w:sz w:val="20"/>
              </w:rPr>
              <w:t>McKinsey Lilli, ZS ZAIDYN, Conversa Health, Synthetic Audiences, Crayon/Klue AI</w:t>
            </w:r>
          </w:p>
        </w:tc>
      </w:tr>
      <w:tr>
        <w:tc>
          <w:tcPr>
            <w:tcW w:type="dxa" w:w="2160"/>
          </w:tcPr>
          <w:p>
            <w:r>
              <w:rPr>
                <w:color w:val="1A1A1A"/>
                <w:sz w:val="20"/>
              </w:rPr>
              <w:t>MLR-Critical</w:t>
            </w:r>
          </w:p>
        </w:tc>
        <w:tc>
          <w:tcPr>
            <w:tcW w:type="dxa" w:w="5040"/>
          </w:tcPr>
          <w:p>
            <w:r>
              <w:rPr>
                <w:color w:val="1A1A1A"/>
                <w:sz w:val="20"/>
              </w:rPr>
              <w:t>Regulatory workflow tools; require Medical/Regulatory sign-off before adoption</w:t>
            </w:r>
          </w:p>
        </w:tc>
        <w:tc>
          <w:tcPr>
            <w:tcW w:type="dxa" w:w="6480"/>
          </w:tcPr>
          <w:p>
            <w:r>
              <w:rPr>
                <w:color w:val="1A1A1A"/>
                <w:sz w:val="20"/>
              </w:rPr>
              <w:t>Veeva Vault PromoMats + AI Agents, Indegene AI, Papercurve, RegASK / Veripharm</w:t>
            </w:r>
          </w:p>
        </w:tc>
      </w:tr>
    </w:tbl>
    <w:p/>
    <w:p>
      <w:pPr>
        <w:spacing w:before="120" w:after="120"/>
        <w:ind w:left="576" w:right="576"/>
        <w:shd w:val="clear" w:color="auto" w:fill="000050"/>
      </w:pPr>
      <w:r>
        <w:rPr>
          <w:b/>
          <w:color w:val="FFFFFF"/>
          <w:sz w:val="22"/>
        </w:rPr>
        <w:t xml:space="preserve">  2026 Priority Trends: MLR Transformation | Synthetic Audiences Rising | Signal-to-Action Intelligence — 38% of MLR projected to be AI-driven by 2028  </w:t>
      </w:r>
    </w:p>
    <w:p>
      <w:r>
        <w:br w:type="page"/>
      </w:r>
    </w:p>
    <w:p>
      <w:pPr>
        <w:pStyle w:val="Heading1"/>
      </w:pPr>
      <w:r>
        <w:rPr>
          <w:color w:val="000050"/>
          <w:sz w:val="36"/>
        </w:rPr>
        <w:t>5. Validation Workplan</w:t>
      </w:r>
    </w:p>
    <w:p>
      <w:r>
        <w:rPr>
          <w:b w:val="0"/>
          <w:color w:val="1A1A1A"/>
          <w:sz w:val="22"/>
        </w:rPr>
        <w:t>Before any tool procurement decisions are made, the following discovery activities must be completed. The fastest path to the right technology decisions is knowing what Abbott EPD already owns.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Timeline</w:t>
            </w:r>
          </w:p>
        </w:tc>
        <w:tc>
          <w:tcPr>
            <w:tcW w:type="dxa" w:w="360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Why It Matters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Inventory current MarTech tools across all EPD regions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Marketing Ops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1–4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Avoid buying what we already own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Identify existing Veeva, Salesforce, and Adobe enterprise licenses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IT / Procurement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1–4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Major platforms may already be licensed — unlocks Core Enablement tools at no additional cost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Map current MLR process and tooling across markets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Medical / Regulatory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1–4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MLR is the highest-impact gap to close; determines CRAFTS architecture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Assess CRM maturity (Veeva vs Salesforce vs other)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Commercial IT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5–6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CRM platform determines SPARK agent architecture and data flow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Review existing analytics and data platforms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Data &amp; Analytics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5–6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Data foundation quality drives the effectiveness of all 5 agents</w:t>
            </w:r>
          </w:p>
        </w:tc>
      </w:tr>
      <w:tr>
        <w:tc>
          <w:tcPr>
            <w:tcW w:type="dxa" w:w="1152"/>
          </w:tcPr>
          <w:p>
            <w:r>
              <w:rPr>
                <w:color w:val="1A1A1A"/>
                <w:sz w:val="20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Identify regional variation in tool usage across EPD markets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Regional Marketing Leads</w:t>
            </w:r>
          </w:p>
        </w:tc>
        <w:tc>
          <w:tcPr>
            <w:tcW w:type="dxa" w:w="1728"/>
          </w:tcPr>
          <w:p>
            <w:r>
              <w:rPr>
                <w:color w:val="1A1A1A"/>
                <w:sz w:val="20"/>
              </w:rPr>
              <w:t>Week 7–8</w:t>
            </w:r>
          </w:p>
        </w:tc>
        <w:tc>
          <w:tcPr>
            <w:tcW w:type="dxa" w:w="3600"/>
          </w:tcPr>
          <w:p>
            <w:r>
              <w:rPr>
                <w:color w:val="1A1A1A"/>
                <w:sz w:val="20"/>
              </w:rPr>
              <w:t>EPD markets may differ significantly — a single global tool stack may not apply</w:t>
            </w:r>
          </w:p>
        </w:tc>
      </w:tr>
    </w:tbl>
    <w:p/>
    <w:p>
      <w:r>
        <w:rPr>
          <w:b w:val="0"/>
          <w:color w:val="1A1A1A"/>
          <w:sz w:val="22"/>
        </w:rPr>
        <w:t>Validation Sequence:</w:t>
      </w:r>
    </w:p>
    <w:p>
      <w:pPr>
        <w:pStyle w:val="ListBullet"/>
        <w:ind w:left="432"/>
      </w:pPr>
      <w:r>
        <w:rPr>
          <w:color w:val="1A1A1A"/>
          <w:sz w:val="22"/>
        </w:rPr>
        <w:t>P1 actions (Weeks 1–4): Tool inventory, license audit, MLR process mapping</w:t>
      </w:r>
    </w:p>
    <w:p>
      <w:pPr>
        <w:pStyle w:val="ListBullet"/>
        <w:ind w:left="432"/>
      </w:pPr>
      <w:r>
        <w:rPr>
          <w:color w:val="1A1A1A"/>
          <w:sz w:val="22"/>
        </w:rPr>
        <w:t>P2 actions (Weeks 5–6): CRM assessment, data platform review</w:t>
      </w:r>
    </w:p>
    <w:p>
      <w:pPr>
        <w:pStyle w:val="ListBullet"/>
        <w:ind w:left="432"/>
      </w:pPr>
      <w:r>
        <w:rPr>
          <w:color w:val="1A1A1A"/>
          <w:sz w:val="22"/>
        </w:rPr>
        <w:t>P3 actions (Weeks 7–8): Regional variation analysis</w:t>
      </w:r>
    </w:p>
    <w:p>
      <w:pPr>
        <w:pStyle w:val="ListBullet"/>
        <w:ind w:left="432"/>
      </w:pPr>
      <w:r>
        <w:rPr>
          <w:color w:val="1A1A1A"/>
          <w:sz w:val="22"/>
        </w:rPr>
        <w:t>Output (Week 9–10): Updated gap analysis with confirmed current state, confirmed gap types, and prioritized tool recommendations</w:t>
      </w:r>
    </w:p>
    <w:p>
      <w:r>
        <w:br w:type="page"/>
      </w:r>
    </w:p>
    <w:p>
      <w:pPr>
        <w:pStyle w:val="Heading1"/>
      </w:pPr>
      <w:r>
        <w:rPr>
          <w:color w:val="000050"/>
          <w:sz w:val="36"/>
        </w:rPr>
        <w:t>6. Next Steps &amp; Recommended Actions</w:t>
      </w:r>
    </w:p>
    <w:p>
      <w:r>
        <w:rPr>
          <w:b w:val="0"/>
          <w:color w:val="1A1A1A"/>
          <w:sz w:val="22"/>
        </w:rPr>
        <w:t>Three actions move this assessment from a capability map to a buildable architecture.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#</w:t>
            </w:r>
          </w:p>
        </w:tc>
        <w:tc>
          <w:tcPr>
            <w:tcW w:type="dxa" w:w="4608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Action</w:t>
            </w:r>
          </w:p>
        </w:tc>
        <w:tc>
          <w:tcPr>
            <w:tcW w:type="dxa" w:w="3456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Timeline</w:t>
            </w:r>
          </w:p>
        </w:tc>
        <w:tc>
          <w:tcPr>
            <w:tcW w:type="dxa" w:w="288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Output</w:t>
            </w:r>
          </w:p>
        </w:tc>
      </w:tr>
      <w:tr>
        <w:tc>
          <w:tcPr>
            <w:tcW w:type="dxa" w:w="576"/>
          </w:tcPr>
          <w:p>
            <w:r>
              <w:rPr>
                <w:color w:val="1A1A1A"/>
                <w:sz w:val="20"/>
              </w:rPr>
              <w:t>1</w:t>
            </w:r>
          </w:p>
        </w:tc>
        <w:tc>
          <w:tcPr>
            <w:tcW w:type="dxa" w:w="4608"/>
          </w:tcPr>
          <w:p>
            <w:r>
              <w:rPr>
                <w:color w:val="1A1A1A"/>
                <w:sz w:val="20"/>
              </w:rPr>
              <w:t>Complete the Validation Workplan (Section 5)</w:t>
            </w:r>
          </w:p>
        </w:tc>
        <w:tc>
          <w:tcPr>
            <w:tcW w:type="dxa" w:w="3456"/>
          </w:tcPr>
          <w:p>
            <w:r>
              <w:rPr>
                <w:color w:val="1A1A1A"/>
                <w:sz w:val="20"/>
              </w:rPr>
              <w:t>Marketing Ops + IT/Procurement + Medical/Regulatory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4 weeks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Confirmed current state tool inventory; updated gap analysis</w:t>
            </w:r>
          </w:p>
        </w:tc>
      </w:tr>
      <w:tr>
        <w:tc>
          <w:tcPr>
            <w:tcW w:type="dxa" w:w="576"/>
          </w:tcPr>
          <w:p>
            <w:r>
              <w:rPr>
                <w:color w:val="1A1A1A"/>
                <w:sz w:val="20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color w:val="1A1A1A"/>
                <w:sz w:val="20"/>
              </w:rPr>
              <w:t>Run Current State → Future State Capability Mapping</w:t>
            </w:r>
          </w:p>
        </w:tc>
        <w:tc>
          <w:tcPr>
            <w:tcW w:type="dxa" w:w="3456"/>
          </w:tcPr>
          <w:p>
            <w:r>
              <w:rPr>
                <w:color w:val="1A1A1A"/>
                <w:sz w:val="20"/>
              </w:rPr>
              <w:t>EPD Architect + Marketing Ops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2 weeks post-validation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Validated gap analysis with confirmed gap types and tool shortlist</w:t>
            </w:r>
          </w:p>
        </w:tc>
      </w:tr>
      <w:tr>
        <w:tc>
          <w:tcPr>
            <w:tcW w:type="dxa" w:w="576"/>
          </w:tcPr>
          <w:p>
            <w:r>
              <w:rPr>
                <w:color w:val="1A1A1A"/>
                <w:sz w:val="20"/>
              </w:rPr>
              <w:t>3</w:t>
            </w:r>
          </w:p>
        </w:tc>
        <w:tc>
          <w:tcPr>
            <w:tcW w:type="dxa" w:w="4608"/>
          </w:tcPr>
          <w:p>
            <w:r>
              <w:rPr>
                <w:color w:val="1A1A1A"/>
                <w:sz w:val="20"/>
              </w:rPr>
              <w:t>Build Integration &amp; Target Architecture</w:t>
            </w:r>
          </w:p>
        </w:tc>
        <w:tc>
          <w:tcPr>
            <w:tcW w:type="dxa" w:w="3456"/>
          </w:tcPr>
          <w:p>
            <w:r>
              <w:rPr>
                <w:color w:val="1A1A1A"/>
                <w:sz w:val="20"/>
              </w:rPr>
              <w:t>EPD Architect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4 weeks post-mapping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Integration architecture + target architecture diagrams for all 5 agents</w:t>
            </w:r>
          </w:p>
        </w:tc>
      </w:tr>
    </w:tbl>
    <w:p/>
    <w:p>
      <w:pPr>
        <w:spacing w:before="120" w:after="120"/>
        <w:ind w:left="576" w:right="576"/>
        <w:shd w:val="clear" w:color="auto" w:fill="000050"/>
      </w:pPr>
      <w:r>
        <w:rPr>
          <w:b/>
          <w:color w:val="FFFFFF"/>
          <w:sz w:val="22"/>
        </w:rPr>
        <w:t xml:space="preserve">  Validation unlocks mapping. Mapping unlocks architecture. Architecture unlocks procurement. Follow the sequence.  </w:t>
      </w:r>
    </w:p>
    <w:p>
      <w:r>
        <w:br w:type="page"/>
      </w:r>
    </w:p>
    <w:p>
      <w:pPr>
        <w:pStyle w:val="Heading1"/>
      </w:pPr>
      <w:r>
        <w:rPr>
          <w:color w:val="000050"/>
          <w:sz w:val="36"/>
        </w:rPr>
        <w:t>Appendix A: Full Tool Reference</w:t>
      </w:r>
    </w:p>
    <w:p>
      <w:r>
        <w:rPr>
          <w:b w:val="0"/>
          <w:color w:val="1A1A1A"/>
          <w:sz w:val="22"/>
        </w:rPr>
        <w:t>Complete list of all 28 tools evaluated across the five agents.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Tool</w:t>
            </w:r>
          </w:p>
        </w:tc>
        <w:tc>
          <w:tcPr>
            <w:tcW w:type="dxa" w:w="144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Agent</w:t>
            </w:r>
          </w:p>
        </w:tc>
        <w:tc>
          <w:tcPr>
            <w:tcW w:type="dxa" w:w="2160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Category</w:t>
            </w:r>
          </w:p>
        </w:tc>
        <w:tc>
          <w:tcPr>
            <w:tcW w:type="dxa" w:w="1872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Classification</w:t>
            </w:r>
          </w:p>
        </w:tc>
        <w:tc>
          <w:tcPr>
            <w:tcW w:type="dxa" w:w="5328"/>
            <w:shd w:val="clear" w:color="auto" w:fill="DDDDFF"/>
          </w:tcPr>
          <w:p>
            <w:r>
              <w:rPr>
                <w:b/>
                <w:color w:val="000050"/>
                <w:sz w:val="20"/>
              </w:rPr>
              <w:t>Key Capability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Adobe Firefly / GenStudio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Creative Generation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Brand-safe image &amp; video generation; modular asset creation in Adobe workflows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Writer.com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 / 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Copy &amp; Content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Enterprise GenAI with brand voice guardrails and claim-safe copy; pharma-tunable LLM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Persado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Brief Intelligence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Emotion AI for messaging optimization; generates compliant copy variants at scale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Jasper AI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Brief &amp; Copy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AI writing for brief creation, headline generation, campaign copy iteration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Adobe Workfront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Creative Ops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AI-assisted project management; connects brief intake to asset production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Midjourney / Runway Gen-4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ALICE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Creative Generation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High-fidelity visual ideation, mood boards, motion assets for campaign concepting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Deepsights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Market Intelligence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AI-powered synthesis of research, competitive intel, HCP/patient sentiment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Brandwatch / Synthesio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Social Listening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Social listening + GenAI narrative analysis for real-time brand perception monitoring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McKinsey Lilli / ZS ZAIDYN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Strategy Modeling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Enterprise AI for commercial strategy scenario modeling and portfolio planning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Salesforce Einstein LS Cloud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 / 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CRM &amp; Analytics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Predictive analytics and AI-driven segmentation for HCP positioning and journeys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Synthetic Audiences / Digital Twins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Research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GenAI-generated synthetic HCP &amp; patient personas for rapid message testing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IQVIA HCP Data + AI Insights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BRANDS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Market Intelligence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Real-world data enriched with AI for prescriber behavior and brand signals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Veeva Vault PromoMats + AI Agents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MLR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MLR-Critical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Industry-standard MLR platform with Quick Check Agent; up to 75% cycle time reduction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Indegene AI Compliance Engine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Compliance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MLR-Critical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Auto-detects non-compliant claims; links citations; flags risk in global audits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Adobe Experience Manager + Firefly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Content Creation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AI-assisted modular content system for multi-channel asset rendering at scale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Papercurve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MLR Pre-Review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Auto-annotates claims against references for MLR pre-submission speed-ups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Optimizely / VWO AI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CRAFTS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Content Testing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GenAI-powered A/B and multivariate testing for HCP-facing digital content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Aktana / PharmaForceIQ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Next-Best-Action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Industry-leading NBA platform (merged Jan 2026); 36% NBRx lift; 100M+ field suggestions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Veeva Vault CRM AI Agents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CRM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Pre-call Agent, Voice Agent, Free Text Agent for HCP intelligence and rep coaching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Salesforce Life Sciences Cloud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CRM / Orchestration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Einstein AI CRM with HCP journey orchestration and omnichannel delivery (Sep 2025)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Verix Sage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NBA / Engagement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LLM-powered HCP engagement intelligence translating data signals to pre-call strategies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Conversa Health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Patient Engagement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Conversational AI handling 60%+ of HCP/patient queries on dosing, side effects, access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Adobe Sensei / Marketing Cloud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SPARK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Personalization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Real-time content personalization and send-time optimization across email and web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IQVIA Market Edge AI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Competitive Intel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Real-world evidence and market dynamics analysis; identifies payer landscape shifts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Crayon / Klue AI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Competitive Intel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GenAI-powered competitive intelligence monitoring competitor launches and payer decisions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Payer Sciences / ZS ZAIDYN Access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HTA &amp; Dossier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Emerging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AI tools for economic value dossiers, ICER models, HTA submission narratives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Avalere AI (Inovalon)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HTA &amp; Policy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Core Enablement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Policy intelligence and payer coverage modeling with GenAI scenario simulation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ConnectiveRx AI Platform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Patient Support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Market Leader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GenAI-optimized patient services — copay, prior auth, patient assistance automation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RegASK / Veripharm</w:t>
            </w:r>
          </w:p>
        </w:tc>
        <w:tc>
          <w:tcPr>
            <w:tcW w:type="dxa" w:w="1440"/>
          </w:tcPr>
          <w:p>
            <w:r>
              <w:rPr>
                <w:color w:val="1A1A1A"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color w:val="1A1A1A"/>
                <w:sz w:val="20"/>
              </w:rPr>
              <w:t>Regulatory Compliance</w:t>
            </w:r>
          </w:p>
        </w:tc>
        <w:tc>
          <w:tcPr>
            <w:tcW w:type="dxa" w:w="1872"/>
          </w:tcPr>
          <w:p>
            <w:r>
              <w:rPr>
                <w:color w:val="1A1A1A"/>
                <w:sz w:val="20"/>
              </w:rPr>
              <w:t>MLR-Critical</w:t>
            </w:r>
          </w:p>
        </w:tc>
        <w:tc>
          <w:tcPr>
            <w:tcW w:type="dxa" w:w="5328"/>
          </w:tcPr>
          <w:p>
            <w:r>
              <w:rPr>
                <w:color w:val="1A1A1A"/>
                <w:sz w:val="20"/>
              </w:rPr>
              <w:t>Regulatory AI scanning content for access-related risk and OPDP compliance exposure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