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FAA" w:rsidRDefault="00672FAA" w:rsidP="00672FAA">
      <w:r>
        <w:t>Los listados de víctimas contenidos en los anexos A, B, C y D de la sentencia del caso,</w:t>
      </w:r>
    </w:p>
    <w:p w:rsidR="00672FAA" w:rsidRDefault="00672FAA" w:rsidP="00672FAA">
      <w:r>
        <w:t>El Registro inicial levantado por el gobierno en 2012 y,</w:t>
      </w:r>
    </w:p>
    <w:p w:rsidR="00672FAA" w:rsidRDefault="00672FAA" w:rsidP="00672FAA">
      <w:r>
        <w:t>El Registro histórico de la Asociación Promotora de Derechos Humanos de El Mozote.</w:t>
      </w:r>
    </w:p>
    <w:p w:rsidR="00672FAA" w:rsidRDefault="00672FAA" w:rsidP="00672FAA">
      <w:r>
        <w:t>En agosto de 2016, en el Decreto Ejecutivo No. 53, se estableció como responsable de esta construcción y depuración a la Dirección General de Estadística y Censos (DIGESTYC) y al Consejo Directivo del Registro, como la instancia responsable de su administración.</w:t>
      </w:r>
    </w:p>
    <w:p w:rsidR="00672FAA" w:rsidRDefault="00672FAA" w:rsidP="00672FAA"/>
    <w:p w:rsidR="00672FAA" w:rsidRDefault="00672FAA" w:rsidP="00672FAA">
      <w:r>
        <w:t>Las víctimas ejecutadas;</w:t>
      </w:r>
    </w:p>
    <w:p w:rsidR="00672FAA" w:rsidRDefault="00672FAA" w:rsidP="00672FAA">
      <w:r>
        <w:t>Las víctimas sobrevivientes;</w:t>
      </w:r>
    </w:p>
    <w:p w:rsidR="00672FAA" w:rsidRDefault="00672FAA" w:rsidP="00672FAA">
      <w:r>
        <w:t>Los familiares de las víctimas ejecutadas, y</w:t>
      </w:r>
    </w:p>
    <w:p w:rsidR="00672FAA" w:rsidRDefault="00672FAA" w:rsidP="00672FAA">
      <w:r>
        <w:t>Las víctimas desplazadas forzadamente.</w:t>
      </w:r>
    </w:p>
    <w:p w:rsidR="00672FAA" w:rsidRDefault="00672FAA" w:rsidP="00672FAA">
      <w:r>
        <w:t>Corte Interamericana de Derechos Humanos, Sentencia caso Masacres de El Mozote y lugares aledaños vs El Salvador, 25 de octubre de 2012, párr. 306.</w:t>
      </w:r>
    </w:p>
    <w:p w:rsidR="00672FAA" w:rsidRDefault="00672FAA" w:rsidP="00672FAA"/>
    <w:p w:rsidR="00672FAA" w:rsidRDefault="00672FAA" w:rsidP="00672FAA">
      <w:r>
        <w:t>¿COMO SE ACCEDE A LA CONDICIÓN DE VÍCTIMA?</w:t>
      </w:r>
    </w:p>
    <w:p w:rsidR="00672FAA" w:rsidRDefault="00672FAA" w:rsidP="00672FAA"/>
    <w:p w:rsidR="00672FAA" w:rsidRDefault="00672FAA" w:rsidP="00672FAA">
      <w:r>
        <w:t>En tanto, los hechos ocurrieron hace más de 30 años, los testimonios de las víctimas y referentes locales de los lugares reconocidos en la sentencia, representan una fuente de información y de prueba para la identificación de las víctimas, por ello el Gobierno aplica el principio de buena fe para las víctimas que solicitan su incorporación al Registro Oficial, asegurando a través de prueba testimonial que ellas o sus familiares fueron víctimas de las masacres.</w:t>
      </w:r>
    </w:p>
    <w:p w:rsidR="00672FAA" w:rsidRDefault="00672FAA" w:rsidP="00672FAA"/>
    <w:p w:rsidR="00672FAA" w:rsidRDefault="00672FAA" w:rsidP="00672FAA">
      <w:r>
        <w:t>El Gobierno, se reserva el derecho de activar las vías legales competentes en caso de identificar indicios de una posible falsedad o fraude por parte de alguna persona que se haga pasar por víctima, sin serlo.</w:t>
      </w:r>
    </w:p>
    <w:p w:rsidR="00672FAA" w:rsidRDefault="00672FAA" w:rsidP="00672FAA"/>
    <w:p w:rsidR="00672FAA" w:rsidRDefault="00672FAA" w:rsidP="00672FAA">
      <w:r>
        <w:t>Por la naturaleza de los hechos, el Registro está construido en buena parte a base de testimonios, ya que en nombre del Estado ninguna institución o funcionario a cargo de estos procesos puede dar fe de los hechos, ya que ninguno estuvo ahí. El trabajo de identificación se realiza principalmente a través de declaraciones juradas de las propias víctimas y confiando en el nivel de organización que han logrado en los lugares que sucedieron los hechos, donde la mayoría son familiares y se conocen.</w:t>
      </w:r>
    </w:p>
    <w:p w:rsidR="00672FAA" w:rsidRDefault="00672FAA">
      <w:r>
        <w:br w:type="page"/>
      </w:r>
    </w:p>
    <w:p w:rsidR="00672FAA" w:rsidRPr="00672FAA" w:rsidRDefault="00672FAA" w:rsidP="00672FAA">
      <w:pPr>
        <w:shd w:val="clear" w:color="auto" w:fill="F4F6F6"/>
        <w:spacing w:after="360" w:line="240" w:lineRule="auto"/>
        <w:rPr>
          <w:rFonts w:ascii="Helvetica" w:eastAsia="Times New Roman" w:hAnsi="Helvetica" w:cs="Helvetica"/>
          <w:b/>
          <w:bCs/>
          <w:caps/>
          <w:color w:val="745CF9"/>
          <w:sz w:val="21"/>
          <w:szCs w:val="21"/>
          <w:lang w:eastAsia="es-ES"/>
        </w:rPr>
      </w:pPr>
      <w:r w:rsidRPr="00672FAA">
        <w:rPr>
          <w:rFonts w:ascii="Helvetica" w:eastAsia="Times New Roman" w:hAnsi="Helvetica" w:cs="Helvetica"/>
          <w:b/>
          <w:bCs/>
          <w:caps/>
          <w:color w:val="745CF9"/>
          <w:sz w:val="21"/>
          <w:szCs w:val="21"/>
          <w:lang w:eastAsia="es-ES"/>
        </w:rPr>
        <w:lastRenderedPageBreak/>
        <w:t>CRITERIOS</w:t>
      </w:r>
    </w:p>
    <w:p w:rsidR="00672FAA" w:rsidRPr="00672FAA" w:rsidRDefault="00672FAA" w:rsidP="00672FAA">
      <w:pPr>
        <w:shd w:val="clear" w:color="auto" w:fill="FFFFFF"/>
        <w:spacing w:after="360" w:line="240" w:lineRule="auto"/>
        <w:jc w:val="both"/>
        <w:rPr>
          <w:rFonts w:ascii="Helvetica" w:eastAsia="Times New Roman" w:hAnsi="Helvetica" w:cs="Helvetica"/>
          <w:color w:val="8C979E"/>
          <w:sz w:val="21"/>
          <w:szCs w:val="21"/>
          <w:lang w:eastAsia="es-ES"/>
        </w:rPr>
      </w:pPr>
      <w:r w:rsidRPr="00672FAA">
        <w:rPr>
          <w:rFonts w:ascii="Helvetica" w:eastAsia="Times New Roman" w:hAnsi="Helvetica" w:cs="Helvetica"/>
          <w:color w:val="8C979E"/>
          <w:sz w:val="21"/>
          <w:szCs w:val="21"/>
          <w:lang w:eastAsia="es-ES"/>
        </w:rPr>
        <w:t>Los criterios para determinar que una persona fue víctima de la masacre de El Mozote y sitios aledaños fueron construidos en base a la sentencia del caso y la jurisprudencia de la Corte Interamericana de Derechos Humanos en casos similares, y fueron consensuados y validados por las víctimas y sus representantes. Los criterios permiten al Estado la elaboración de un Registro Oficial y Único de las Víctimas a partir del cruce de información entre el registro de la DIGESTYC, los listados de la Corte IDH y el Registro Histórico de la APDHEM.</w:t>
      </w:r>
    </w:p>
    <w:p w:rsidR="00672FAA" w:rsidRPr="00672FAA" w:rsidRDefault="00672FAA" w:rsidP="00672FAA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8C979E"/>
          <w:sz w:val="21"/>
          <w:szCs w:val="21"/>
          <w:lang w:eastAsia="es-ES"/>
        </w:rPr>
      </w:pPr>
      <w:r w:rsidRPr="00672FAA">
        <w:rPr>
          <w:rFonts w:ascii="Helvetica" w:eastAsia="Times New Roman" w:hAnsi="Helvetica" w:cs="Helvetica"/>
          <w:color w:val="8C979E"/>
          <w:sz w:val="21"/>
          <w:szCs w:val="21"/>
          <w:lang w:eastAsia="es-ES"/>
        </w:rPr>
        <w:t>Los criterios que a continuación se detallan, constituyen la regla general a aplicar para la determinación de la calidad de víctima del caso de una persona, en virtud de los hechos probados ante la Corte; sin embargo, el Consejo Directivo del Registro puede establecer excepciones a los mismos en caso que lo estime conveniente realizando el análisis previo de cada caso.</w:t>
      </w:r>
    </w:p>
    <w:p w:rsidR="00672FAA" w:rsidRDefault="00672FAA" w:rsidP="00672FAA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8E44AD"/>
          <w:sz w:val="20"/>
          <w:szCs w:val="20"/>
          <w:lang w:eastAsia="es-ES"/>
        </w:rPr>
      </w:pPr>
      <w:r w:rsidRPr="00672FAA">
        <w:rPr>
          <w:rFonts w:ascii="Helvetica" w:eastAsia="Times New Roman" w:hAnsi="Helvetica" w:cs="Helvetica"/>
          <w:color w:val="8E44AD"/>
          <w:sz w:val="20"/>
          <w:szCs w:val="20"/>
          <w:lang w:eastAsia="es-ES"/>
        </w:rPr>
        <w:t>Creado por Decreto Ejecutivo No. 53 de fecha 31 de agosto de 2016.</w:t>
      </w:r>
    </w:p>
    <w:p w:rsidR="00672FAA" w:rsidRDefault="00672FAA" w:rsidP="00672FAA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8E44AD"/>
          <w:sz w:val="20"/>
          <w:szCs w:val="20"/>
          <w:lang w:eastAsia="es-ES"/>
        </w:rPr>
      </w:pPr>
    </w:p>
    <w:p w:rsidR="00672FAA" w:rsidRPr="00672FAA" w:rsidRDefault="00672FAA" w:rsidP="00672FAA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8E44AD"/>
          <w:sz w:val="20"/>
          <w:szCs w:val="20"/>
          <w:lang w:eastAsia="es-ES"/>
        </w:rPr>
      </w:pPr>
      <w:bookmarkStart w:id="0" w:name="_GoBack"/>
      <w:bookmarkEnd w:id="0"/>
    </w:p>
    <w:p w:rsidR="00672FAA" w:rsidRPr="00672FAA" w:rsidRDefault="00672FAA" w:rsidP="00672FA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1C28"/>
          <w:sz w:val="21"/>
          <w:szCs w:val="21"/>
          <w:lang w:eastAsia="es-ES"/>
        </w:rPr>
      </w:pPr>
      <w:r w:rsidRPr="00672FAA">
        <w:rPr>
          <w:rFonts w:ascii="Helvetica" w:eastAsia="Times New Roman" w:hAnsi="Helvetica" w:cs="Helvetica"/>
          <w:noProof/>
          <w:color w:val="001C28"/>
          <w:sz w:val="21"/>
          <w:szCs w:val="21"/>
          <w:lang w:eastAsia="es-ES"/>
        </w:rPr>
        <w:lastRenderedPageBreak/>
        <mc:AlternateContent>
          <mc:Choice Requires="wps">
            <w:drawing>
              <wp:inline distT="0" distB="0" distL="0" distR="0">
                <wp:extent cx="5124450" cy="5124450"/>
                <wp:effectExtent l="0" t="0" r="0" b="0"/>
                <wp:docPr id="1" name="Rectángulo 1" descr="Víctimas identificad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124450" cy="5124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9B271" id="Rectángulo 1" o:spid="_x0000_s1026" alt="Víctimas identificadas" style="width:403.5pt;height:40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m5TzgIAANsFAAAOAAAAZHJzL2Uyb0RvYy54bWysVM1y0zAQvjPDO2h0d20H5ceeOp02jhlm&#10;CnQocFdkOdZgS0ZS4haGh+EBeIq+GCs5SZP2wgA+aLQ//nb329WeX9y1DdpybYSSGY7PIoy4ZKoU&#10;cp3hTx+LYIaRsVSWtFGSZ/ieG3wxf/nivO9SPlK1akquEYBIk/ZdhmtruzQMDat5S82Z6rgEY6V0&#10;Sy2Ieh2WmvaA3jbhKIomYa902WnFuDGgzQcjnnv8quLMvq8qwy1qMgy5WX9qf67cGc7PabrWtKsF&#10;26VB/yKLlgoJQQ9QObUUbbR4BtUKppVRlT1jqg1VVQnGfQ1QTRw9qea2ph33tQA5pjvQZP4fLHu3&#10;vdFIlNA7jCRtoUUfgLSHn3K9aRQCZckNA8I+P/xiVkBPwJlLKyBxWlLjCOw7kwLObXejHQWmu1bs&#10;i0FSLWoq1/zSdIA4BNirtFZ9zWkJlcQOIjzBcIIBNLTq36oSUqIbqzy9d5VuXQwgDt35Lt4fusjv&#10;LGKgHMcjQsbQbAa2veBi0HT/e6eNfc1Vi9wlwxry8/B0e23s4Lp3cdGkKkTTgJ6mjTxRAOaggeDw&#10;q7O5NHznvydRspwtZyQgo8kyIFGeB5fFggSTIp6O81f5YpHHP1zcmKS1KIFWF2Y/hTH5sy7v3sMw&#10;P4c5NKoRpYNzKRm9Xi0ajbYUXkHhP086WB7dwtM0PF9Qy5OSgNvoapQExWQ2DUhBxkEyjWZBFCdX&#10;ySQiCcmL05KuheT/XhLqM5yMR2PfpaOkn9QW+e95bTRthYU904g2w7ODE03dDC5l6VtrqWiG+xEV&#10;Lv1HKqDd+0b7iXVDOsz/SpX3MLBawTjB6MFGhEut9DeMetguGTZfN1RzjJo3EoY+iQlx68gLZDwd&#10;gaCPLatjC5UMoDJsMRquCzussE2nxbqGSLEnRqpLeCiV8CPsHtGQ1e55wQbxley2nVtRx7L3etzJ&#10;898AAAD//wMAUEsDBBQABgAIAAAAIQD59gST2QAAAAUBAAAPAAAAZHJzL2Rvd25yZXYueG1sTI9B&#10;S8NAEIXvgv9hGcGL2I0etMRsihTEIkIx1Z6n2TEJZmfT7DaJ/75TEfQyzOMNb76XLSbXqoH60Hg2&#10;cDNLQBGX3jZcGXjfPF3PQYWIbLH1TAa+KcAiPz/LMLV+5DcailgpCeGQooE6xi7VOpQ1OQwz3xGL&#10;9+l7h1FkX2nb4yjhrtW3SXKnHTYsH2rsaFlT+VUcnIGxXA/bzeuzXl9tV573q/2y+Hgx5vJienwA&#10;FWmKf8dwwhd0yIVp5w9sg2oNSJH4M8WbJ/cid7+LzjP9nz4/AgAA//8DAFBLAQItABQABgAIAAAA&#10;IQC2gziS/gAAAOEBAAATAAAAAAAAAAAAAAAAAAAAAABbQ29udGVudF9UeXBlc10ueG1sUEsBAi0A&#10;FAAGAAgAAAAhADj9If/WAAAAlAEAAAsAAAAAAAAAAAAAAAAALwEAAF9yZWxzLy5yZWxzUEsBAi0A&#10;FAAGAAgAAAAhAJK6blPOAgAA2wUAAA4AAAAAAAAAAAAAAAAALgIAAGRycy9lMm9Eb2MueG1sUEsB&#10;Ai0AFAAGAAgAAAAhAPn2BJPZAAAABQEAAA8AAAAAAAAAAAAAAAAAKA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</w:p>
    <w:p w:rsidR="00672FAA" w:rsidRPr="00672FAA" w:rsidRDefault="00672FAA" w:rsidP="00672FAA">
      <w:pPr>
        <w:shd w:val="clear" w:color="auto" w:fill="FFFFFF"/>
        <w:spacing w:after="360" w:line="240" w:lineRule="auto"/>
        <w:rPr>
          <w:rFonts w:ascii="Helvetica" w:eastAsia="Times New Roman" w:hAnsi="Helvetica" w:cs="Helvetica"/>
          <w:color w:val="8C979E"/>
          <w:sz w:val="21"/>
          <w:szCs w:val="21"/>
          <w:lang w:eastAsia="es-ES"/>
        </w:rPr>
      </w:pPr>
      <w:r w:rsidRPr="00672FAA">
        <w:rPr>
          <w:rFonts w:ascii="Helvetica" w:eastAsia="Times New Roman" w:hAnsi="Helvetica" w:cs="Helvetica"/>
          <w:color w:val="8C979E"/>
          <w:sz w:val="21"/>
          <w:szCs w:val="21"/>
          <w:lang w:eastAsia="es-ES"/>
        </w:rPr>
        <w:t> </w:t>
      </w:r>
    </w:p>
    <w:p w:rsidR="00672FAA" w:rsidRPr="00672FAA" w:rsidRDefault="00672FAA" w:rsidP="00672FAA">
      <w:pPr>
        <w:spacing w:after="360" w:line="240" w:lineRule="auto"/>
        <w:rPr>
          <w:rFonts w:ascii="Helvetica" w:eastAsia="Times New Roman" w:hAnsi="Helvetica" w:cs="Helvetica"/>
          <w:color w:val="FFFFFF"/>
          <w:sz w:val="21"/>
          <w:szCs w:val="21"/>
          <w:lang w:eastAsia="es-ES"/>
        </w:rPr>
      </w:pPr>
      <w:r w:rsidRPr="00672FAA">
        <w:rPr>
          <w:rFonts w:ascii="Helvetica" w:eastAsia="Times New Roman" w:hAnsi="Helvetica" w:cs="Helvetica"/>
          <w:color w:val="FFFFFF"/>
          <w:sz w:val="21"/>
          <w:szCs w:val="21"/>
          <w:lang w:eastAsia="es-ES"/>
        </w:rPr>
        <w:t>  </w:t>
      </w:r>
      <w:r w:rsidRPr="00672FAA">
        <w:rPr>
          <w:rFonts w:ascii="Helvetica" w:eastAsia="Times New Roman" w:hAnsi="Helvetica" w:cs="Helvetica"/>
          <w:b/>
          <w:bCs/>
          <w:color w:val="FFFFFF"/>
          <w:sz w:val="21"/>
          <w:szCs w:val="21"/>
          <w:lang w:eastAsia="es-ES"/>
        </w:rPr>
        <w:t>La categoría de No nacido se ha incluido como víctima de la masacre por DIGESTYC, pero de acuerdo a la legislación y jurisprudencia nacional, no conlleva la reclamación de derechos civiles como el resto de las víctimas.</w:t>
      </w:r>
    </w:p>
    <w:p w:rsidR="00D00FF6" w:rsidRDefault="00D00FF6" w:rsidP="00672FAA"/>
    <w:sectPr w:rsidR="00D00F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281"/>
    <w:rsid w:val="00672FAA"/>
    <w:rsid w:val="00775281"/>
    <w:rsid w:val="00D0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3331DA-7D66-44DD-9017-C263A9120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72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card-text">
    <w:name w:val="card-text"/>
    <w:basedOn w:val="Normal"/>
    <w:rsid w:val="00672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75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4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495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IBERO01</dc:creator>
  <cp:keywords/>
  <dc:description/>
  <cp:lastModifiedBy>IBERO01</cp:lastModifiedBy>
  <cp:revision>3</cp:revision>
  <dcterms:created xsi:type="dcterms:W3CDTF">2021-12-07T09:36:00Z</dcterms:created>
  <dcterms:modified xsi:type="dcterms:W3CDTF">2021-12-07T09:42:00Z</dcterms:modified>
</cp:coreProperties>
</file>