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448CA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宝马AI CAMP-《智能数据处理》（平台：Dify）案例操作指引</w:t>
      </w:r>
    </w:p>
    <w:p w14:paraId="74E26514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1CAC12DD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文件包：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2"/>
        <w:gridCol w:w="1177"/>
        <w:gridCol w:w="3553"/>
      </w:tblGrid>
      <w:tr w14:paraId="42BEB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4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388E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文件名</w:t>
            </w:r>
          </w:p>
        </w:tc>
        <w:tc>
          <w:tcPr>
            <w:tcW w:w="12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1EC7F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37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9D4D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4CB4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A9DB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dify_database_schema_description.md</w:t>
            </w:r>
          </w:p>
        </w:tc>
        <w:tc>
          <w:tcPr>
            <w:tcW w:w="12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5165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</w:t>
            </w:r>
          </w:p>
        </w:tc>
        <w:tc>
          <w:tcPr>
            <w:tcW w:w="37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436F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表结构说明文件</w:t>
            </w:r>
          </w:p>
        </w:tc>
      </w:tr>
      <w:tr w14:paraId="7EA77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B1DA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dify_metric_definitions.md</w:t>
            </w:r>
          </w:p>
        </w:tc>
        <w:tc>
          <w:tcPr>
            <w:tcW w:w="12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0D72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</w:t>
            </w:r>
          </w:p>
        </w:tc>
        <w:tc>
          <w:tcPr>
            <w:tcW w:w="37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F6FB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统计口径</w:t>
            </w:r>
          </w:p>
        </w:tc>
      </w:tr>
      <w:tr w14:paraId="5C23E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6AA7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SQL_FUNCTIONS_REFERENCE.md</w:t>
            </w:r>
          </w:p>
        </w:tc>
        <w:tc>
          <w:tcPr>
            <w:tcW w:w="12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03688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知识库</w:t>
            </w:r>
          </w:p>
        </w:tc>
        <w:tc>
          <w:tcPr>
            <w:tcW w:w="37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1FB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Duckdb SQL Function 定义说明</w:t>
            </w:r>
          </w:p>
        </w:tc>
      </w:tr>
      <w:tr w14:paraId="67469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0CC2C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ChatBI Example for BMW.yml</w:t>
            </w:r>
          </w:p>
        </w:tc>
        <w:tc>
          <w:tcPr>
            <w:tcW w:w="12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6C18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工作流 DSL</w:t>
            </w:r>
          </w:p>
        </w:tc>
        <w:tc>
          <w:tcPr>
            <w:tcW w:w="37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681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案例一：标准工作流，完全按照预设节点产出统计结果</w:t>
            </w:r>
          </w:p>
        </w:tc>
      </w:tr>
      <w:tr w14:paraId="6DFF6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3F3E4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URL2File.yml</w:t>
            </w:r>
          </w:p>
        </w:tc>
        <w:tc>
          <w:tcPr>
            <w:tcW w:w="12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7CFC5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工作流 DSL</w:t>
            </w:r>
          </w:p>
        </w:tc>
        <w:tc>
          <w:tcPr>
            <w:tcW w:w="37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6BCE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 案例二：自定义工具工作流，用户将 URL 转换为文件</w:t>
            </w:r>
          </w:p>
        </w:tc>
      </w:tr>
      <w:tr w14:paraId="4F3F8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45FD8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ChatBI Pro Tool.yml</w:t>
            </w:r>
          </w:p>
        </w:tc>
        <w:tc>
          <w:tcPr>
            <w:tcW w:w="12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B90D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工作流 DSL</w:t>
            </w:r>
          </w:p>
        </w:tc>
        <w:tc>
          <w:tcPr>
            <w:tcW w:w="37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551A3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案例二：自定义工具工作流，输入文件 URL 和用户查询目标，自动统计输出统计结果</w:t>
            </w:r>
          </w:p>
        </w:tc>
      </w:tr>
      <w:tr w14:paraId="10D1F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14D7A9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ChatBI-Agent-for-BMW.yml</w:t>
            </w:r>
          </w:p>
        </w:tc>
        <w:tc>
          <w:tcPr>
            <w:tcW w:w="12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69DC2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  <w:szCs w:val="1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工作流 DSL</w:t>
            </w:r>
          </w:p>
        </w:tc>
        <w:tc>
          <w:tcPr>
            <w:tcW w:w="379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69" w:type="dxa"/>
              <w:left w:w="69" w:type="dxa"/>
              <w:bottom w:w="69" w:type="dxa"/>
              <w:right w:w="69" w:type="dxa"/>
            </w:tcMar>
            <w:vAlign w:val="center"/>
          </w:tcPr>
          <w:p w14:paraId="2DB80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案例二：自主性Agent 导入文件，案例二主文件</w:t>
            </w:r>
          </w:p>
        </w:tc>
      </w:tr>
    </w:tbl>
    <w:p w14:paraId="4735C483">
      <w:pPr>
        <w:rPr>
          <w:rFonts w:hint="eastAsia" w:ascii="微软雅黑" w:hAnsi="微软雅黑" w:eastAsia="微软雅黑" w:cs="微软雅黑"/>
        </w:rPr>
      </w:pPr>
    </w:p>
    <w:p w14:paraId="1F086DFF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第一部分：基础工作流</w:t>
      </w:r>
    </w:p>
    <w:p w14:paraId="061781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进入知识库创建三个知识库（案例一、案例二都必须）</w:t>
      </w:r>
    </w:p>
    <w:p w14:paraId="40F7AF92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</w:pPr>
    </w:p>
    <w:p w14:paraId="2E2DAB0F">
      <w:r>
        <w:drawing>
          <wp:inline distT="0" distB="0" distL="114300" distR="114300">
            <wp:extent cx="5434965" cy="1756410"/>
            <wp:effectExtent l="0" t="0" r="571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F599">
      <w:r>
        <w:drawing>
          <wp:inline distT="0" distB="0" distL="114300" distR="114300">
            <wp:extent cx="5269230" cy="1915795"/>
            <wp:effectExtent l="0" t="0" r="952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3BFB"/>
    <w:p w14:paraId="129A82F4"/>
    <w:p w14:paraId="669F4D98"/>
    <w:p w14:paraId="446EE4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 w:firstLine="0" w:firstLineChars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导入三个知识库文件创建知识库（需要创建三个知识库，每个文件对应一个知识库）</w:t>
      </w:r>
    </w:p>
    <w:p w14:paraId="64978E2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</w:pPr>
    </w:p>
    <w:p w14:paraId="557AF7D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</w:pPr>
    </w:p>
    <w:p w14:paraId="5E8B15B6">
      <w:r>
        <w:drawing>
          <wp:inline distT="0" distB="0" distL="114300" distR="114300">
            <wp:extent cx="5723255" cy="2987040"/>
            <wp:effectExtent l="0" t="0" r="889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A451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76261F13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5D41B2C2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0D809B52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00CA7A15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1AD8211E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10D2C91B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15B1EE44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081CCDB5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14EE5D68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17"/>
          <w:szCs w:val="17"/>
          <w:u w:val="none"/>
          <w:shd w:val="clear" w:fill="FFFFFF"/>
        </w:rPr>
      </w:pPr>
    </w:p>
    <w:p w14:paraId="4B3AD86D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7"/>
          <w:szCs w:val="17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instrText xml:space="preserve"> HYPERLINK "http://SQL_FUNCTIONS_REFERENCE.md" \t "_blank" </w:instrTex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t>SQL_FUNCTIONS_REFERENCE.md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知识库设置：</w:t>
      </w:r>
    </w:p>
    <w:p w14:paraId="57122C86">
      <w:r>
        <w:drawing>
          <wp:inline distT="0" distB="0" distL="114300" distR="114300">
            <wp:extent cx="5324475" cy="7769225"/>
            <wp:effectExtent l="0" t="0" r="8255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76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ED50"/>
    <w:p w14:paraId="14F149D0"/>
    <w:p w14:paraId="576F0FB4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7"/>
          <w:szCs w:val="17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instrText xml:space="preserve"> HYPERLINK "http://dify_database_schema_description.md" \t "_blank" </w:instrTex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t>dify_database_schema_description.md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知识库设置：</w:t>
      </w:r>
    </w:p>
    <w:p w14:paraId="72297BB8">
      <w:r>
        <w:drawing>
          <wp:inline distT="0" distB="0" distL="114300" distR="114300">
            <wp:extent cx="5269230" cy="7123430"/>
            <wp:effectExtent l="0" t="0" r="9525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2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B4E1"/>
    <w:p w14:paraId="141AF7B9"/>
    <w:p w14:paraId="2E67480B"/>
    <w:p w14:paraId="6491AB09"/>
    <w:p w14:paraId="40456990"/>
    <w:p w14:paraId="1A6AB03C"/>
    <w:p w14:paraId="2C5D2FD4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7"/>
          <w:szCs w:val="17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instrText xml:space="preserve"> HYPERLINK "http://dify_metric_definitions.md" \t "_blank" </w:instrTex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t>dify_metric_definitions.md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知识库设置：</w:t>
      </w:r>
    </w:p>
    <w:p w14:paraId="6FB0A0A7">
      <w:r>
        <w:drawing>
          <wp:inline distT="0" distB="0" distL="114300" distR="114300">
            <wp:extent cx="5269865" cy="7313930"/>
            <wp:effectExtent l="0" t="0" r="889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1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68CEC"/>
    <w:p w14:paraId="247D0946"/>
    <w:p w14:paraId="636F4457">
      <w:pPr>
        <w:rPr>
          <w:b/>
          <w:bCs/>
          <w:color w:val="FFFFFF" w:themeColor="background1"/>
          <w:sz w:val="48"/>
          <w:szCs w:val="56"/>
          <w14:textFill>
            <w14:solidFill>
              <w14:schemeClr w14:val="bg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FFFFFF" w:themeColor="background1"/>
          <w:spacing w:val="0"/>
          <w:sz w:val="24"/>
          <w:szCs w:val="24"/>
          <w:shd w:val="clear" w:fill="F76964"/>
          <w14:textFill>
            <w14:solidFill>
              <w14:schemeClr w14:val="bg1"/>
            </w14:solidFill>
          </w14:textFill>
        </w:rPr>
        <w:t>注：知识库名称建议跟截图中保持一致，后续提示词会使用名字，如果更名需要同步更改后续流程提示词</w:t>
      </w:r>
    </w:p>
    <w:p w14:paraId="1CD3831D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3、</w: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导入工作流</w:t>
      </w:r>
    </w:p>
    <w:p w14:paraId="73410D47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第一个案例只需要导入：ChatBI Example for BMW.yml</w:t>
      </w:r>
    </w:p>
    <w:p w14:paraId="4BA1407A">
      <w:r>
        <w:drawing>
          <wp:inline distT="0" distB="0" distL="114300" distR="114300">
            <wp:extent cx="5271135" cy="3002280"/>
            <wp:effectExtent l="0" t="0" r="762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D363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127500" cy="2978150"/>
            <wp:effectExtent l="0" t="0" r="6985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A694">
      <w:pPr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将ChatBI Example for BMW.yml文件拖入后，会提示需要安装插件：</w:t>
      </w:r>
    </w:p>
    <w:p w14:paraId="2EA15138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4310" cy="633095"/>
            <wp:effectExtent l="0" t="0" r="4445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F0D0">
      <w:pPr>
        <w:rPr>
          <w:b/>
          <w:bCs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FFFFFF" w:themeColor="background1"/>
          <w:spacing w:val="0"/>
          <w:sz w:val="21"/>
          <w:szCs w:val="21"/>
          <w:shd w:val="clear" w:fill="F76964"/>
          <w14:textFill>
            <w14:solidFill>
              <w14:schemeClr w14:val="bg1"/>
            </w14:solidFill>
          </w14:textFill>
        </w:rPr>
        <w:t>注：请点击安装，该插件两个案例都必须使用。</w:t>
      </w:r>
    </w:p>
    <w:p w14:paraId="4FA3DE9D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4、</w: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使用案例</w:t>
      </w:r>
    </w:p>
    <w:p w14:paraId="047486BE">
      <w:pPr>
        <w:rPr>
          <w:sz w:val="21"/>
          <w:szCs w:val="21"/>
        </w:rPr>
      </w:pPr>
    </w:p>
    <w:p w14:paraId="4340D0BF">
      <w:r>
        <w:drawing>
          <wp:inline distT="0" distB="0" distL="114300" distR="114300">
            <wp:extent cx="5274310" cy="2475230"/>
            <wp:effectExtent l="0" t="0" r="4445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4AB4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输入</w:t>
      </w:r>
    </w:p>
    <w:p w14:paraId="361E5871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注：sales_order.csv为案例配套数据，如果更换数据，需要更换表格字段定义知识库和统计口径定义知识库</w:t>
      </w:r>
    </w:p>
    <w:p w14:paraId="29405710">
      <w:r>
        <w:drawing>
          <wp:inline distT="0" distB="0" distL="114300" distR="114300">
            <wp:extent cx="2193290" cy="2329815"/>
            <wp:effectExtent l="0" t="0" r="889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8C68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结果</w:t>
      </w:r>
    </w:p>
    <w:p w14:paraId="572DA0FC">
      <w:r>
        <w:drawing>
          <wp:inline distT="0" distB="0" distL="114300" distR="114300">
            <wp:extent cx="2133600" cy="4087495"/>
            <wp:effectExtent l="0" t="0" r="381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D9EE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第二部分：自主智能体</w:t>
      </w:r>
    </w:p>
    <w:p w14:paraId="467E92D2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 w:themeColor="background1"/>
          <w:spacing w:val="0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FFFFF" w:themeColor="background1"/>
          <w:spacing w:val="0"/>
          <w:kern w:val="0"/>
          <w:sz w:val="21"/>
          <w:szCs w:val="21"/>
          <w:shd w:val="clear" w:fill="F76964"/>
          <w:lang w:val="en-US" w:eastAsia="zh-CN" w:bidi="ar"/>
          <w14:textFill>
            <w14:solidFill>
              <w14:schemeClr w14:val="bg1"/>
            </w14:solidFill>
          </w14:textFill>
        </w:rPr>
        <w:t>注：案例二也需要知识库，必须先完成知识库导入</w:t>
      </w:r>
    </w:p>
    <w:p w14:paraId="46B202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导入工具工作流：URL2File.yml、ChatBI Pro Tool.yml</w:t>
      </w:r>
    </w:p>
    <w:p w14:paraId="41A0FAE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jc w:val="both"/>
      </w:pPr>
      <w:r>
        <w:drawing>
          <wp:inline distT="0" distB="0" distL="114300" distR="114300">
            <wp:extent cx="5271135" cy="3002280"/>
            <wp:effectExtent l="0" t="0" r="762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A55B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2、</w: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这两个工作流都必须发布为工具</w:t>
      </w:r>
    </w:p>
    <w:p w14:paraId="5D61D0CB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jc w:val="both"/>
      </w:pPr>
      <w:r>
        <w:drawing>
          <wp:inline distT="0" distB="0" distL="114300" distR="114300">
            <wp:extent cx="4577715" cy="2661285"/>
            <wp:effectExtent l="0" t="0" r="1016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87B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jc w:val="both"/>
      </w:pPr>
      <w:r>
        <w:drawing>
          <wp:inline distT="0" distB="0" distL="114300" distR="114300">
            <wp:extent cx="3129915" cy="2667000"/>
            <wp:effectExtent l="0" t="0" r="635" b="1016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8F2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jc w:val="both"/>
        <w:rPr>
          <w:rFonts w:hint="eastAsia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URL2File 配置</w:t>
      </w:r>
    </w:p>
    <w:p w14:paraId="71C42AA4">
      <w:r>
        <w:drawing>
          <wp:inline distT="0" distB="0" distL="114300" distR="114300">
            <wp:extent cx="3456305" cy="5382895"/>
            <wp:effectExtent l="0" t="0" r="889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538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3542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发布 ChatBI Pro Tool</w:t>
      </w:r>
    </w:p>
    <w:p w14:paraId="1921ED7A">
      <w:r>
        <w:drawing>
          <wp:inline distT="0" distB="0" distL="114300" distR="114300">
            <wp:extent cx="2893060" cy="5367655"/>
            <wp:effectExtent l="0" t="0" r="0" b="825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536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23D0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ind w:left="-360" w:leftChars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3、</w:t>
      </w: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导入ChatBI-Agent-for-BMW.yml</w:t>
      </w:r>
    </w:p>
    <w:p w14:paraId="52DBFC94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jc w:val="both"/>
      </w:pPr>
      <w:r>
        <w:drawing>
          <wp:inline distT="0" distB="0" distL="114300" distR="114300">
            <wp:extent cx="4177665" cy="2379345"/>
            <wp:effectExtent l="0" t="0" r="0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77DE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jc w:val="both"/>
      </w:pPr>
    </w:p>
    <w:p w14:paraId="40877558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jc w:val="both"/>
      </w:pPr>
      <w:r>
        <w:drawing>
          <wp:inline distT="0" distB="0" distL="114300" distR="114300">
            <wp:extent cx="5273675" cy="5749925"/>
            <wp:effectExtent l="0" t="0" r="5080" b="38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5DB2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导入后即可测试。</w:t>
      </w:r>
    </w:p>
    <w:p w14:paraId="00F64D18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40"/>
          <w:szCs w:val="40"/>
          <w:shd w:val="clear" w:fill="FFFFFF"/>
          <w:lang w:val="en-US" w:eastAsia="zh-CN" w:bidi="ar"/>
        </w:rPr>
        <w:t>实际案例</w:t>
      </w:r>
    </w:p>
    <w:p w14:paraId="060E4340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输入</w:t>
      </w:r>
    </w:p>
    <w:p w14:paraId="7C8C8369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456F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56F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"https://chinamobile-1320739042.cos.ap-beijing.myqcloud.com/sales_order.csv" \t "_blank"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56F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1456F0"/>
          <w:spacing w:val="0"/>
          <w:sz w:val="21"/>
          <w:szCs w:val="21"/>
          <w:u w:val="none"/>
          <w:shd w:val="clear" w:fill="FFFFFF"/>
        </w:rPr>
        <w:t>https://chinamobile-1320739042.cos.ap-beijing.myqcloud.com/sales_order.csv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456F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6379866E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帮我分析一下这几个月电车的销量</w:t>
      </w:r>
    </w:p>
    <w:p w14:paraId="5A18488A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输出</w:t>
      </w:r>
    </w:p>
    <w:p w14:paraId="1732FB2F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</w:pPr>
      <w:r>
        <w:drawing>
          <wp:inline distT="0" distB="0" distL="114300" distR="114300">
            <wp:extent cx="4527550" cy="8923020"/>
            <wp:effectExtent l="0" t="0" r="6350" b="444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1"/>
                    <a:srcRect b="24445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892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B201">
      <w:pPr>
        <w:keepNext w:val="0"/>
        <w:keepLines w:val="0"/>
        <w:widowControl/>
        <w:suppressLineNumbers w:val="0"/>
        <w:shd w:val="clear" w:fill="FFFFFF"/>
        <w:spacing w:before="34" w:beforeAutospacing="0" w:after="34" w:afterAutospacing="0" w:line="14" w:lineRule="atLeast"/>
        <w:ind w:left="0" w:firstLine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999355" cy="324485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1"/>
                    <a:srcRect l="1445" t="75622" r="3757" b="789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D2D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34" w:beforeAutospacing="0" w:after="34" w:afterAutospacing="0" w:line="14" w:lineRule="atLeast"/>
        <w:jc w:val="both"/>
      </w:pPr>
    </w:p>
    <w:p w14:paraId="693CCD11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A1DA1"/>
    <w:multiLevelType w:val="singleLevel"/>
    <w:tmpl w:val="1A4A1DA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47D2CBF"/>
    <w:multiLevelType w:val="singleLevel"/>
    <w:tmpl w:val="747D2CB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034D5"/>
    <w:rsid w:val="2770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2026-04-22T08:33:00Z</dcterms:created>
  <dc:creator>卿</dc:creator>
  <cp:lastModifiedBy>卿</cp:lastModifiedBy>
  <dcterms:modified xsi:type="dcterms:W3CDTF">2026-04-22T09:25:16Z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8AE40BD69EE242AFB6CE4EE1E85B9FF6_11</vt:lpwstr>
  </property>
  <property fmtid="{D5CDD505-2E9C-101B-9397-08002B2CF9AE}" pid="4" name="KSOTemplateDocerSaveRecord">
    <vt:lpwstr>eyJoZGlkIjoiZjdhNDg5Mzk0OGE1NTdlZWZiZTU0OTQ2N2UyNzRjYmMiLCJ1c2VySWQiOiIzMTIyMzM1NzIifQ==</vt:lpwstr>
  </property>
</Properties>
</file>