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WP57-12-TP620-I003-HES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65H2-101, 65H2-103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