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Nutzenmesskonzept: Optimierung des Rechnungsversands (Kfz)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EEBFF" w:sz="2"/>
              <w:left w:val="single" w:color="0052CC" w:sz="24"/>
              <w:bottom w:val="single" w:color="DEEBFF" w:sz="2"/>
              <w:right w:val="single" w:color="DEEBFF" w:sz="2"/>
            </w:tcBorders>
            <w:shd w:fill="DEEBFF" w:val="clear"/>
            <w:tcMar>
              <w:top w:type="dxa" w:w="120"/>
              <w:left w:type="dxa" w:w="160"/>
              <w:bottom w:type="dxa" w:w="120"/>
              <w:right w:type="dxa" w:w="160"/>
            </w:tcMar>
          </w:tcPr>
          <w:p>
            <w:pPr>
              <w:spacing w:after="60"/>
            </w:pPr>
            <w:r>
              <w:rPr>
                <w:b/>
                <w:bCs/>
              </w:rPr>
              <w:t xml:space="preserve">Zweck dieses Dokuments</w:t>
            </w:r>
          </w:p>
          <w:p>
            <w:pPr>
              <w:spacing w:after="0"/>
            </w:pPr>
            <w:r>
              <w:t xml:space="preserve">Dieses Dokument beschreibt das Nutzenmesskonzept für die Steuerung des Jahreswechsel-Rechnungsversands im Kfz-Bestand. Gemessen wird der Nutzen der DA-optimierten Versandsortierung gegenüber der Versand-Policy, die vor Einführung des Modells gelebt wurde.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FAE6" w:sz="2"/>
              <w:left w:val="single" w:color="FF991F" w:sz="24"/>
              <w:bottom w:val="single" w:color="FFFAE6" w:sz="2"/>
              <w:right w:val="single" w:color="FFFAE6" w:sz="2"/>
            </w:tcBorders>
            <w:shd w:fill="FFFAE6" w:val="clear"/>
            <w:tcMar>
              <w:top w:type="dxa" w:w="120"/>
              <w:left w:type="dxa" w:w="160"/>
              <w:bottom w:type="dxa" w:w="120"/>
              <w:right w:type="dxa" w:w="160"/>
            </w:tcMar>
          </w:tcPr>
          <w:p>
            <w:pPr>
              <w:spacing w:after="60"/>
            </w:pPr>
            <w:r>
              <w:rPr>
                <w:b/>
                <w:bCs/>
              </w:rPr>
              <w:t xml:space="preserve">Begriffsklärung (gemäß gültiger DA-Definition)</w:t>
            </w:r>
          </w:p>
          <w:p>
            <w:pPr>
              <w:spacing w:after="0"/>
            </w:pPr>
            <w:r>
              <w:rPr>
                <w:b/>
                <w:bCs/>
              </w:rPr>
              <w:t xml:space="preserve">Nutzen</w:t>
            </w:r>
            <w:r>
              <w:t xml:space="preserve"> = Brutto, vor Handlungsfeld-Kosten, unter Berücksichtigung der unmittelbar dem Use Case zuzuordnenden Kosten.  </w:t>
            </w:r>
            <w:r>
              <w:rPr>
                <w:b/>
                <w:bCs/>
              </w:rPr>
              <w:t xml:space="preserve">Mehrwert</w:t>
            </w:r>
            <w:r>
              <w:t xml:space="preserve"> = Nutzen abzüglich der dem Handlungsfeld zuzuordnenden Kosten.  Der Nutzenhebel dieses Use Cases ist die vermiedene verlorene Profitabilität; er wird unmittelbar in Euro gemessen.</w:t>
            </w:r>
          </w:p>
        </w:tc>
      </w:tr>
    </w:tbl>
    <w:p>
      <w:pPr>
        <w:pStyle w:val="Heading1"/>
        <w:spacing w:after="120" w:before="240"/>
      </w:pPr>
      <w:r>
        <w:t xml:space="preserve">1  Nutzenmesskonzept</w:t>
      </w:r>
    </w:p>
    <w:p>
      <w:pPr>
        <w:pStyle w:val="Heading2"/>
        <w:spacing w:after="120" w:before="240"/>
      </w:pPr>
      <w:r>
        <w:t xml:space="preserve">1.1  Use Case-Definition</w:t>
      </w:r>
    </w:p>
    <w:p>
      <w:pPr>
        <w:pStyle w:val="Heading3"/>
        <w:spacing w:after="120" w:before="240"/>
      </w:pPr>
      <w:r>
        <w:t xml:space="preserve">1.1.1  Wirkhebel und Ziele</w:t>
      </w:r>
    </w:p>
    <w:p>
      <w:pPr>
        <w:spacing w:after="120" w:before="0"/>
      </w:pPr>
      <w:r>
        <w:t xml:space="preserve">Zum Jahreswechsel erhalten Kfz-Kunden ihre Beitragsrechnung. Der Rechnungserhalt ist ein bekannter Kündigungsanlass. Der Nutzen des Use Cases entsteht aus der Versandsteuerung, die sich aus zwei Komponenten zusammensetzt: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Versandmengen</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Zu welchem Zeitpunkt wird welche Menge an Rechnungen verschickt.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Versandreihenfolge</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Wann werden innerhalb des Versandzeitraums welche Rechnungen verschickt.</w:t>
            </w:r>
          </w:p>
        </w:tc>
      </w:tr>
    </w:tbl>
    <w:p>
      <w:pPr>
        <w:spacing w:after="120" w:before="0"/>
      </w:pPr>
      <w:r>
        <w:rPr>
          <w:b/>
          <w:bCs/>
        </w:rPr>
        <w:t xml:space="preserve">Wirkhebel: </w:t>
      </w:r>
      <w:r>
        <w:t xml:space="preserve">Das DA-Modell liefert eine optimierte Sortierung der Versanddatei. Bei unveränderter Gesamtmenge wird dadurch die zeitliche Platzierung der einzelnen Rechnung verändert. </w:t>
      </w:r>
      <w:r>
        <w:rPr>
          <w:b/>
          <w:bCs/>
        </w:rPr>
        <w:t xml:space="preserve">Ziel: </w:t>
      </w:r>
      <w:r>
        <w:t xml:space="preserve">Reduktion der durch den Rechnungsversand ausgelösten Kündigungen, gewichtet mit dem Kundenwert des jeweils betroffenen Vertrags.</w:t>
      </w:r>
    </w:p>
    <w:p>
      <w:pPr>
        <w:pStyle w:val="Heading3"/>
        <w:spacing w:after="120" w:before="240"/>
      </w:pPr>
      <w:r>
        <w:t xml:space="preserve">1.1.2  Umfeld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Einsatzfeld</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Jahreswechsel-Rechnungsversand im Kfz-Bestand, Kanal Post.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Übergabe der Versanddatei</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DA stellt die sortierte Versanddatei bereit; die Übergabe erfolgt an AE.</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Organisation Versand</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Rechnungsversand wird durch KR organisiert.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Versandmengen</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Die Mengen werden über VK koordiniert, da dort weitere Versandmengen mitgeplant werden.</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Druck und Produktion</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Erfolgt in KS.</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Veränderungszyklen</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Versand erfolgt einmal jährlich zum Jahreswechsel. Entsprechend wird je Jahreswechsel eine Messung durchgeführt.</w:t>
            </w:r>
          </w:p>
        </w:tc>
      </w:tr>
    </w:tbl>
    <w:p>
      <w:pPr>
        <w:pStyle w:val="Heading2"/>
        <w:spacing w:after="120" w:before="240"/>
      </w:pPr>
      <w:r>
        <w:t xml:space="preserve">1.2  Definition der zu messenden Größen</w:t>
      </w:r>
    </w:p>
    <w:p>
      <w:pPr>
        <w:pStyle w:val="Heading3"/>
        <w:spacing w:after="120" w:before="240"/>
      </w:pPr>
      <w:r>
        <w:t xml:space="preserve">1.2.1  Wiederverwendung bestehender Messkonzepte</w:t>
      </w:r>
    </w:p>
    <w:p>
      <w:pPr>
        <w:spacing w:after="120" w:before="0"/>
      </w:pPr>
      <w:r>
        <w:t xml:space="preserve">Ein geeignetes bestehendes Messkonzept lag nicht vor; das hier beschriebene Konzept wurde neu erstellt. Es ist auf weitere Versandzyklen und Kanäle übertragbar und wird je Jahreswechsel instanziiert (Abschnitt 3).</w:t>
      </w:r>
    </w:p>
    <w:p>
      <w:pPr>
        <w:pStyle w:val="Heading3"/>
        <w:spacing w:after="120" w:before="240"/>
      </w:pPr>
      <w:r>
        <w:t xml:space="preserve">1.2.2  Nutzenhebel, Formel und Baseline</w:t>
      </w:r>
    </w:p>
    <w:p>
      <w:pPr>
        <w:spacing w:after="120" w:before="0"/>
      </w:pPr>
      <w:r>
        <w:t xml:space="preserve">Als </w:t>
      </w:r>
      <w:r>
        <w:rPr>
          <w:b/>
          <w:bCs/>
        </w:rPr>
        <w:t xml:space="preserve">Baseline</w:t>
      </w:r>
      <w:r>
        <w:t xml:space="preserve"> dient die Alternativ-Versand-Policy, die den Status quo vor Einsatz des DA-Modells abbildet: Sortierung nach aufsteigender Partner-ID, kombiniert mit der Versandmengen-Policy des Jahreswechsels 22/23. Verglichen werden die realisierten Kündigungen beider Gruppen, gewichtet mit dem Kundenwert: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FE1E6" w:sz="4"/>
              <w:left w:val="single" w:color="DFE1E6" w:sz="4"/>
              <w:bottom w:val="single" w:color="DFE1E6" w:sz="4"/>
              <w:right w:val="single" w:color="DFE1E6" w:sz="4"/>
            </w:tcBorders>
            <w:shd w:fill="F4F5F7" w:val="clear"/>
            <w:tcMar>
              <w:top w:type="dxa" w:w="120"/>
              <w:left w:type="dxa" w:w="160"/>
              <w:bottom w:type="dxa" w:w="120"/>
              <w:right w:type="dxa" w:w="160"/>
            </w:tcMar>
          </w:tcPr>
          <w:p>
            <w:pPr>
              <w:spacing w:after="60"/>
              <w:jc w:val="center"/>
            </w:pPr>
            <w:r>
              <w:rPr>
                <w:b/>
                <w:bCs/>
              </w:rPr>
              <w:t xml:space="preserve">Delta_je_Rechnung  =  Mittelwert_Baseline (Kündigung × Kundenwert)  -  Mittelwert_Optimierung (Kündigung × Kundenwert)</w:t>
            </w:r>
          </w:p>
          <w:p>
            <w:pPr>
              <w:spacing w:after="0"/>
              <w:jc w:val="center"/>
            </w:pPr>
            <w:r>
              <w:rPr>
                <w:b w:val="false"/>
                <w:bCs w:val="false"/>
              </w:rPr>
              <w:t xml:space="preserve">Nutzen_Jahr_1  =  Delta_je_Rechnung  ×  Anzahl optimierter Rechnungen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3FCEF" w:sz="2"/>
              <w:left w:val="single" w:color="00875A" w:sz="24"/>
              <w:bottom w:val="single" w:color="E3FCEF" w:sz="2"/>
              <w:right w:val="single" w:color="E3FCEF" w:sz="2"/>
            </w:tcBorders>
            <w:shd w:fill="E3FCEF" w:val="clear"/>
            <w:tcMar>
              <w:top w:type="dxa" w:w="120"/>
              <w:left w:type="dxa" w:w="160"/>
              <w:bottom w:type="dxa" w:w="120"/>
              <w:right w:type="dxa" w:w="160"/>
            </w:tcMar>
          </w:tcPr>
          <w:p>
            <w:pPr>
              <w:spacing w:after="60"/>
            </w:pPr>
            <w:r>
              <w:rPr>
                <w:b/>
                <w:bCs/>
              </w:rPr>
              <w:t xml:space="preserve">Einheit und Interpretation</w:t>
            </w:r>
          </w:p>
          <w:p>
            <w:pPr>
              <w:spacing w:after="0"/>
            </w:pPr>
            <w:r>
              <w:t xml:space="preserve">Der Nutzenhebel ist die vermiedene verlorene Profitabilität, also derjenige Kundenwert, der dem Bestand durch die optimierte Versandsteuerung erhalten geblieben ist. Er fällt unmittelbar in Euro an; eine Umrechnung über einen Deckungsbeitrag ist nicht erforderlich.</w:t>
            </w:r>
          </w:p>
        </w:tc>
      </w:tr>
    </w:tbl>
    <w:p>
      <w:pPr>
        <w:pStyle w:val="Heading3"/>
        <w:spacing w:after="120" w:before="240"/>
      </w:pPr>
      <w:r>
        <w:t xml:space="preserve">1.2.3  Überschneidung mit anderen Use Cases und Doppelzählung</w:t>
      </w:r>
    </w:p>
    <w:p>
      <w:pPr>
        <w:spacing w:after="120" w:before="0"/>
      </w:pPr>
      <w:r>
        <w:t xml:space="preserve">Eine Doppelzählung ist durch das Randomisierungsdesign ausgeschlossen. Optimierungs- und Random-Gruppe unterliegen im Messzeitraum denselben sonstigen Marketing- und Bestandsmaßnahmen. Deren Wirkung ist damit in der Baseline bereits enthalten und hebt sich in der Differenz beider Gruppen auf. Der gemessene Effekt ist allein der Versandsteuerung zuzurechnen. Eine Sperre der betroffenen Kunden für andere Maßnahmen ist daher nicht erforderlich.</w:t>
      </w:r>
    </w:p>
    <w:p>
      <w:pPr>
        <w:pStyle w:val="Heading3"/>
        <w:spacing w:after="120" w:before="240"/>
      </w:pPr>
      <w:r>
        <w:t xml:space="preserve">1.2.4  Definition der quantitativen Metriken</w:t>
      </w:r>
    </w:p>
    <w:p>
      <w:pPr>
        <w:spacing w:after="80" w:before="180"/>
      </w:pPr>
      <w:r>
        <w:rPr>
          <w:b/>
          <w:bCs/>
        </w:rPr>
        <w:t xml:space="preserve">(a)  KPIs mit Definition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rPr>
          <w:tblHeader/>
        </w:trPr>
        <w:tc>
          <w:tcPr>
            <w:tcW w:type="dxa" w:w="30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KPI</w:t>
            </w:r>
          </w:p>
        </w:tc>
        <w:tc>
          <w:tcPr>
            <w:tcW w:type="dxa" w:w="42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Definition</w:t>
            </w:r>
          </w:p>
        </w:tc>
        <w:tc>
          <w:tcPr>
            <w:tcW w:type="dxa" w:w="18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Einheit</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Delta relative Kündigungsquote</w:t>
            </w:r>
          </w:p>
        </w:tc>
        <w:tc>
          <w:tcPr>
            <w:tcW w:type="dxa" w:w="4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Differenz der Kündigungsquote zwischen Baseline und Optimierung</w:t>
            </w:r>
          </w:p>
        </w:tc>
        <w:tc>
          <w:tcPr>
            <w:tcW w:type="dxa" w:w="18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Prozentpunkte</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Delta absolute Kündigungsanzahl</w:t>
            </w:r>
          </w:p>
        </w:tc>
        <w:tc>
          <w:tcPr>
            <w:tcW w:type="dxa" w:w="4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Delta relative Kündigungsquote × Anzahl optimierter Rechnungen</w:t>
            </w:r>
          </w:p>
        </w:tc>
        <w:tc>
          <w:tcPr>
            <w:tcW w:type="dxa" w:w="18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Vermiedene Kündigungen</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Delta verlorene Profitabilität je Rechnung</w:t>
            </w:r>
          </w:p>
        </w:tc>
        <w:tc>
          <w:tcPr>
            <w:tcW w:type="dxa" w:w="4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Differenz der Mittelwerte von Kündigung × Kundenwert</w:t>
            </w:r>
          </w:p>
        </w:tc>
        <w:tc>
          <w:tcPr>
            <w:tcW w:type="dxa" w:w="18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Euro je Rechnung</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Delta verlorene Profitabilität gesamt</w:t>
            </w:r>
          </w:p>
        </w:tc>
        <w:tc>
          <w:tcPr>
            <w:tcW w:type="dxa" w:w="4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t xml:space="preserve">Delta je Rechnung × Anzahl optimierter Rechnungen. </w:t>
            </w:r>
            <w:r>
              <w:rPr>
                <w:b/>
                <w:bCs/>
              </w:rPr>
              <w:t xml:space="preserve">Maßgebliche Zielgröße, auf der der Nutzen bestimmt wird.</w:t>
            </w:r>
          </w:p>
        </w:tc>
        <w:tc>
          <w:tcPr>
            <w:tcW w:type="dxa" w:w="18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Euro</w:t>
            </w:r>
          </w:p>
        </w:tc>
      </w:tr>
    </w:tbl>
    <w:p>
      <w:pPr>
        <w:spacing w:after="80" w:before="180"/>
      </w:pPr>
      <w:r>
        <w:rPr>
          <w:b/>
          <w:bCs/>
        </w:rPr>
        <w:t xml:space="preserve">(b)  Definierte Gruppen - wo und an wem wird gemessen?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Versanduniversum</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Alle Kfz-Rechnungen des Jahreswechsels im Kanal Post.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Optimierung</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Rechnungen, die in DA-optimierter Sortierung versandt wurden (rund 80 Prozent).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Random</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Rechnungen, die in zufälliger Reihenfolge versandt wurden (rund 20 Prozent).</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Baseline</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Teilmenge der Random-Gruppe, aus der die Alternativ-Versand-Policy nachgestellt wird (Abschnitt 1.3.2).</w:t>
            </w:r>
          </w:p>
        </w:tc>
      </w:tr>
      <w:tr>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Nicht im Scope</w:t>
            </w:r>
          </w:p>
        </w:tc>
        <w:tc>
          <w:tcPr>
            <w:tcW w:type="dxa" w:w="6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Kanal E-Box. Dort wird eine erneute, breiter angelegte Randomisierung durchgeführt; eine Nutzenmessung erfolgt erst auf dieser Grundlage.</w:t>
            </w:r>
          </w:p>
        </w:tc>
      </w:tr>
    </w:tbl>
    <w:p>
      <w:pPr>
        <w:spacing w:after="80" w:before="180"/>
      </w:pPr>
      <w:r>
        <w:rPr>
          <w:b/>
          <w:bCs/>
        </w:rPr>
        <w:t xml:space="preserve">(c)  Messmethode</w:t>
      </w:r>
    </w:p>
    <w:p>
      <w:pPr>
        <w:spacing w:after="120" w:before="0"/>
      </w:pPr>
      <w:r>
        <w:t xml:space="preserve">Die Messung ist ein randomisiertes Live-Experiment mit anschließender Nachstellung der Vergleichs-Policy. Gemessen wird an tatsächlich realisierten Kündigungen, nicht an Modellprognosen. Das DA-Modell geht ausschließlich in die Erzeugung der Versandsortierung ein, nicht in die Bewertung des Ergebnisses.</w:t>
      </w:r>
    </w:p>
    <w:p>
      <w:pPr>
        <w:spacing w:after="40" w:before="160"/>
        <w:jc w:val="center"/>
      </w:pPr>
      <w:r>
        <w:drawing>
          <wp:inline distT="0" distB="0" distL="0" distR="0">
            <wp:extent cx="4953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81375"/>
                    </a:xfrm>
                    <a:prstGeom prst="rect">
                      <a:avLst/>
                    </a:prstGeom>
                  </pic:spPr>
                </pic:pic>
              </a:graphicData>
            </a:graphic>
          </wp:inline>
        </w:drawing>
      </w:r>
    </w:p>
    <w:p>
      <w:pPr>
        <w:spacing w:after="160"/>
        <w:jc w:val="center"/>
      </w:pPr>
      <w:r>
        <w:rPr>
          <w:i/>
          <w:iCs/>
          <w:color w:val="6B778C"/>
          <w:sz w:val="18"/>
          <w:szCs w:val="18"/>
        </w:rPr>
        <w:t xml:space="preserve">Abb. 1: Messdesign. Die Baseline wird aus der randomisierten Gruppe nachgestellt.</w:t>
      </w:r>
    </w:p>
    <w:p>
      <w:pPr>
        <w:spacing w:after="80" w:before="180"/>
      </w:pPr>
      <w:r>
        <w:rPr>
          <w:b/>
          <w:bCs/>
        </w:rPr>
        <w:t xml:space="preserve">(d)  Als konstant angenommene Größen (innerhalb einer Messung)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Gesamtzahl versandter Rechnungen</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Die Versandsteuerung verändert die Reihenfolge, nicht die Menge.</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Versandzeitraum</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Für beide Gruppen identisch.</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Rechnungsinhalt und Werbemittel</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Zwischen den Gruppen unverändert.</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Stand der Kundenwerte</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Ein fixierter Stand je Messung.</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Stand der Abgangsdaten</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Ein fixierter Auswertungsstichtag je Messung.</w:t>
            </w:r>
          </w:p>
        </w:tc>
      </w:tr>
    </w:tbl>
    <w:p>
      <w:pPr>
        <w:spacing w:after="80" w:before="180"/>
      </w:pPr>
      <w:r>
        <w:rPr>
          <w:b/>
          <w:bCs/>
        </w:rPr>
        <w:t xml:space="preserve">(e)  Nicht direkt messbare Parameter und Annahmen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Annahme</w:t>
            </w:r>
          </w:p>
        </w:tc>
        <w:tc>
          <w:tcPr>
            <w:tcW w:type="dxa" w:w="35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Begründung</w:t>
            </w:r>
          </w:p>
        </w:tc>
        <w:tc>
          <w:tcPr>
            <w:tcW w:type="dxa" w:w="30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Vor- und Nachteil</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Baseline als Näherung des Status quo</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Versand vor Einführung des DA-Modells folgte im Kern der aufsteigenden Partner-ID. Einzelne zusätzliche harte Regeln sind in der Nachstellung nicht abgebildet.</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realitätsnaher Vergleichsmaßstab. Minus: Näherung mit Restunschärfe.</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Nachstellung durch gezieltes Behalten</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Die Baseline entsteht als Teilmenge der Random-Gruppe (Abschnitt 1.3.2).</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beruht auf echten, randomisierten Daten. Minus: reduziert die Fallzahl und damit die Teststärke.</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Kundenwert je Vertrag</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Mehrjähriger Kundenwert; die Definition ist außerhalb dieses Konzepts dokumentiert und wird hier als Parameter übernommen.</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einheitliche, etablierte Größe. Minus: wird innerhalb dieser Messung nicht validiert.</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Abgangsquote in Folgejahren</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Für die Fortschreibung wird angenommen, dass jährlich ein Teil der erhaltenen Verträge dennoch abgeht (Abschnitt h).</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verhindert eine Überzeichnung des Folgenutzens. Minus: pauschale Quote, nicht bestandsindividuell.</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Keine Diskontierung</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Die Fortschreibung erfolgt nominal.</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einfach nachvollziehbar. Minus: der Zeitwert des Geldes bleibt unberücksichtigt.</w:t>
            </w:r>
          </w:p>
        </w:tc>
      </w:tr>
      <w:tr>
        <w:tc>
          <w:tcPr>
            <w:tcW w:type="dxa" w:w="2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Behandlung fehlender Werte</w:t>
            </w:r>
          </w:p>
        </w:tc>
        <w:tc>
          <w:tcPr>
            <w:tcW w:type="dxa" w:w="3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Fehlende Kündigungskennzeichen und fehlende Kundenwerte werden mit null angesetzt.</w:t>
            </w:r>
          </w:p>
        </w:tc>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Plus: konservativ. Minus: unterschätzt den Effekt bei Lücken in den Quelldaten.</w:t>
            </w:r>
          </w:p>
        </w:tc>
      </w:tr>
    </w:tbl>
    <w:p>
      <w:pPr>
        <w:spacing w:after="80" w:before="180"/>
      </w:pPr>
      <w:r>
        <w:rPr>
          <w:b/>
          <w:bCs/>
        </w:rPr>
        <w:t xml:space="preserve">(f)  Zuordnung des Effekts zur DA-Aktivität</w:t>
      </w:r>
    </w:p>
    <w:p>
      <w:pPr>
        <w:spacing w:after="120" w:before="0"/>
      </w:pPr>
      <w:r>
        <w:t xml:space="preserve">Die Zuteilung zu Optimierung und Random erfolgt zufällig. Beide Gruppen unterscheiden sich damit im Erwartungswert in keinem Merkmal außer der Versandsteuerung. Der gemessene Effekt ist deshalb vollständig der DA-Aktivität zuzuordnen; eine Bereinigung um Kampagnen- oder Bestandseinflüsse ist nicht erforderlich.</w:t>
      </w:r>
    </w:p>
    <w:p>
      <w:pPr>
        <w:spacing w:after="80" w:before="180"/>
      </w:pPr>
      <w:r>
        <w:rPr>
          <w:b/>
          <w:bCs/>
        </w:rPr>
        <w:t xml:space="preserve">(g)  Abdeckung aller relevanten Nutzeneffekte</w:t>
      </w:r>
    </w:p>
    <w:p>
      <w:pPr>
        <w:spacing w:after="120" w:before="0"/>
      </w:pPr>
      <w:r>
        <w:t xml:space="preserve">Erfasst wird der Kündigungseffekt im Beobachtungszeitraum, gewichtet mit dem Kundenwert. Nicht erfasst sind Wirkungen auf Zahlungsverhalten, Beschwerdeaufkommen, Servicekosten sowie Folgeeffekte im Cross-Selling. Der ausgewiesene Nutzen ist damit konservativ.</w:t>
      </w:r>
    </w:p>
    <w:p>
      <w:pPr>
        <w:spacing w:after="80" w:before="180"/>
      </w:pPr>
      <w:r>
        <w:rPr>
          <w:b/>
          <w:bCs/>
        </w:rPr>
        <w:t xml:space="preserve">(h)  Ökonomischer Nutzen inklusive Berechnung</w:t>
      </w:r>
    </w:p>
    <w:p>
      <w:pPr>
        <w:spacing w:after="120" w:before="0"/>
      </w:pPr>
      <w:r>
        <w:t xml:space="preserve">Der Nutzen wird in vier Schritten bestimmt.</w:t>
      </w:r>
    </w:p>
    <w:p>
      <w:pPr>
        <w:spacing w:after="120" w:before="0"/>
      </w:pPr>
      <w:r>
        <w:rPr>
          <w:i/>
          <w:iCs/>
        </w:rPr>
        <w:t xml:space="preserve">Schritt 1 - Wirkung je Rechnung.</w:t>
      </w:r>
      <w:r>
        <w:t xml:space="preserve"> Differenz der mittleren verlorenen Profitabilität zwischen Baseline und Optimierung.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FE1E6" w:sz="4"/>
              <w:left w:val="single" w:color="DFE1E6" w:sz="4"/>
              <w:bottom w:val="single" w:color="DFE1E6" w:sz="4"/>
              <w:right w:val="single" w:color="DFE1E6" w:sz="4"/>
            </w:tcBorders>
            <w:shd w:fill="F4F5F7" w:val="clear"/>
            <w:tcMar>
              <w:top w:type="dxa" w:w="120"/>
              <w:left w:type="dxa" w:w="160"/>
              <w:bottom w:type="dxa" w:w="120"/>
              <w:right w:type="dxa" w:w="160"/>
            </w:tcMar>
          </w:tcPr>
          <w:p>
            <w:pPr>
              <w:spacing w:after="0"/>
              <w:jc w:val="center"/>
            </w:pPr>
            <w:r>
              <w:rPr>
                <w:b/>
                <w:bCs/>
              </w:rPr>
              <w:t xml:space="preserve">Delta_je_Rechnung  =  Mittelwert_Baseline  -  Mittelwert_Optimierung</w:t>
            </w:r>
          </w:p>
        </w:tc>
      </w:tr>
    </w:tbl>
    <w:p>
      <w:pPr>
        <w:spacing w:after="120" w:before="0"/>
      </w:pPr>
      <w:r>
        <w:rPr>
          <w:i/>
          <w:iCs/>
        </w:rPr>
        <w:t xml:space="preserve">Schritt 2 - Nutzen des laufenden Jahreswechsels.</w:t>
      </w:r>
      <w:r>
        <w:t xml:space="preserve"> Hochskalierung auf die Menge der optimiert versandten Rechnungen.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FE1E6" w:sz="4"/>
              <w:left w:val="single" w:color="DFE1E6" w:sz="4"/>
              <w:bottom w:val="single" w:color="DFE1E6" w:sz="4"/>
              <w:right w:val="single" w:color="DFE1E6" w:sz="4"/>
            </w:tcBorders>
            <w:shd w:fill="F4F5F7" w:val="clear"/>
            <w:tcMar>
              <w:top w:type="dxa" w:w="120"/>
              <w:left w:type="dxa" w:w="160"/>
              <w:bottom w:type="dxa" w:w="120"/>
              <w:right w:type="dxa" w:w="160"/>
            </w:tcMar>
          </w:tcPr>
          <w:p>
            <w:pPr>
              <w:spacing w:after="0"/>
              <w:jc w:val="center"/>
            </w:pPr>
            <w:r>
              <w:rPr>
                <w:b/>
                <w:bCs/>
              </w:rPr>
              <w:t xml:space="preserve">Nutzen_Jahr_1  =  Delta_je_Rechnung  ×  Anzahl optimierter Rechnungen</w:t>
            </w:r>
          </w:p>
        </w:tc>
      </w:tr>
    </w:tbl>
    <w:p>
      <w:pPr>
        <w:spacing w:after="120" w:before="0"/>
      </w:pPr>
      <w:r>
        <w:rPr>
          <w:i/>
          <w:iCs/>
        </w:rPr>
        <w:t xml:space="preserve">Schritt 3 - Fortschreibung auf Folgejahre.</w:t>
      </w:r>
      <w:r>
        <w:t xml:space="preserve"> Ein durch die Maßnahme erhaltener Vertrag trägt seinen Kundenwert auch in den Folgejahren, sofern er im Bestand bleibt. Je Folgejahr wird eine Abgangsquote q berücksichtigt; es wird nominal gerechnet, also nicht abgezinst.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FE1E6" w:sz="4"/>
              <w:left w:val="single" w:color="DFE1E6" w:sz="4"/>
              <w:bottom w:val="single" w:color="DFE1E6" w:sz="4"/>
              <w:right w:val="single" w:color="DFE1E6" w:sz="4"/>
            </w:tcBorders>
            <w:shd w:fill="F4F5F7" w:val="clear"/>
            <w:tcMar>
              <w:top w:type="dxa" w:w="120"/>
              <w:left w:type="dxa" w:w="160"/>
              <w:bottom w:type="dxa" w:w="120"/>
              <w:right w:type="dxa" w:w="160"/>
            </w:tcMar>
          </w:tcPr>
          <w:p>
            <w:pPr>
              <w:spacing w:after="60"/>
              <w:jc w:val="center"/>
            </w:pPr>
            <w:r>
              <w:rPr>
                <w:b/>
                <w:bCs/>
              </w:rPr>
              <w:t xml:space="preserve">Nutzen_Jahr_j  =  Nutzen_Jahr_1  ×  (1 - q) hoch (j - 1)</w:t>
            </w:r>
          </w:p>
          <w:p>
            <w:pPr>
              <w:spacing w:after="0"/>
              <w:jc w:val="center"/>
            </w:pPr>
            <w:r>
              <w:t xml:space="preserve">Nutzen_gesamt  =  Summe der Nutzen_Jahr_j  über  j = 1 bis H</w:t>
            </w:r>
          </w:p>
        </w:tc>
      </w:tr>
    </w:tbl>
    <w:p>
      <w:pPr>
        <w:spacing w:after="120" w:before="0"/>
      </w:pPr>
      <w:r>
        <w:t xml:space="preserve">Dabei ist q die angesetzte jährliche Abgangsquote und H der Betrachtungshorizont in Jahren. Beide werden nicht im Konzept fixiert, sondern je Messung mit den zum Messzeitpunkt gültigen Werten eingesetzt. Aktuell wird mit q = 6 Prozent gerechnet. Zur Veranschaulichung, ausgehend von einem Nutzen des ersten Jahres von 339.860 Euro: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00"/>
      </w:tblGrid>
      <w:tr>
        <w:trPr>
          <w:tblHeader/>
        </w:trPr>
        <w:tc>
          <w:tcPr>
            <w:tcW w:type="dxa" w:w="15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Jahr</w:t>
            </w:r>
          </w:p>
        </w:tc>
        <w:tc>
          <w:tcPr>
            <w:tcW w:type="dxa" w:w="22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Faktor</w:t>
            </w:r>
          </w:p>
        </w:tc>
        <w:tc>
          <w:tcPr>
            <w:tcW w:type="dxa" w:w="22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Nutzen im Jahr</w:t>
            </w:r>
          </w:p>
        </w:tc>
        <w:tc>
          <w:tcPr>
            <w:tcW w:type="dxa" w:w="31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kumuliert</w:t>
            </w:r>
          </w:p>
        </w:tc>
      </w:tr>
      <w:tr>
        <w:tc>
          <w:tcPr>
            <w:tcW w:type="dxa" w:w="1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1,000</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339.860 Euro</w:t>
            </w:r>
          </w:p>
        </w:tc>
        <w:tc>
          <w:tcPr>
            <w:tcW w:type="dxa" w:w="31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339.860 Euro</w:t>
            </w:r>
          </w:p>
        </w:tc>
      </w:tr>
      <w:tr>
        <w:tc>
          <w:tcPr>
            <w:tcW w:type="dxa" w:w="1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0,940</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319.468 Euro</w:t>
            </w:r>
          </w:p>
        </w:tc>
        <w:tc>
          <w:tcPr>
            <w:tcW w:type="dxa" w:w="31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659.328 Euro</w:t>
            </w:r>
          </w:p>
        </w:tc>
      </w:tr>
      <w:tr>
        <w:tc>
          <w:tcPr>
            <w:tcW w:type="dxa" w:w="1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0,884</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300.300 Euro</w:t>
            </w:r>
          </w:p>
        </w:tc>
        <w:tc>
          <w:tcPr>
            <w:tcW w:type="dxa" w:w="31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959.629 Euro</w:t>
            </w:r>
          </w:p>
        </w:tc>
      </w:tr>
      <w:tr>
        <w:tc>
          <w:tcPr>
            <w:tcW w:type="dxa" w:w="1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4</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0,831</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282.282 Euro</w:t>
            </w:r>
          </w:p>
        </w:tc>
        <w:tc>
          <w:tcPr>
            <w:tcW w:type="dxa" w:w="31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1.241.911 Euro</w:t>
            </w:r>
          </w:p>
        </w:tc>
      </w:tr>
      <w:tr>
        <w:tc>
          <w:tcPr>
            <w:tcW w:type="dxa" w:w="15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5</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0,781</w:t>
            </w:r>
          </w:p>
        </w:tc>
        <w:tc>
          <w:tcPr>
            <w:tcW w:type="dxa" w:w="22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265.345 Euro</w:t>
            </w:r>
          </w:p>
        </w:tc>
        <w:tc>
          <w:tcPr>
            <w:tcW w:type="dxa" w:w="31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1.507.256 Euro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FAE6" w:sz="2"/>
              <w:left w:val="single" w:color="FF991F" w:sz="24"/>
              <w:bottom w:val="single" w:color="FFFAE6" w:sz="2"/>
              <w:right w:val="single" w:color="FFFAE6" w:sz="2"/>
            </w:tcBorders>
            <w:shd w:fill="FFFAE6" w:val="clear"/>
            <w:tcMar>
              <w:top w:type="dxa" w:w="120"/>
              <w:left w:type="dxa" w:w="160"/>
              <w:bottom w:type="dxa" w:w="120"/>
              <w:right w:type="dxa" w:w="160"/>
            </w:tcMar>
          </w:tcPr>
          <w:p>
            <w:pPr>
              <w:spacing w:after="60"/>
            </w:pPr>
            <w:r>
              <w:rPr>
                <w:b/>
                <w:bCs/>
              </w:rPr>
              <w:t xml:space="preserve">Hinweis zum Betrachtungshorizont</w:t>
            </w:r>
          </w:p>
          <w:p>
            <w:pPr>
              <w:spacing w:after="0"/>
            </w:pPr>
            <w:r>
              <w:t xml:space="preserve">Die Fortschreibung ist nur mit einem endlichen Horizont H sinnvoll. Ohne Begrenzung konvergiert die Reihe gegen das rund 16,7-fache des Jahreswerts. H ist daher je Messung festzulegen und zu dokumentieren.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B111E" w:sz="8"/>
              <w:left w:val="dashed" w:color="9B111E" w:sz="8"/>
              <w:bottom w:val="dashed" w:color="9B111E" w:sz="8"/>
              <w:right w:val="dashed" w:color="9B111E" w:sz="8"/>
            </w:tcBorders>
            <w:shd w:fill="FFF0F0" w:val="clear"/>
            <w:tcMar>
              <w:top w:type="dxa" w:w="120"/>
              <w:left w:type="dxa" w:w="160"/>
              <w:bottom w:type="dxa" w:w="120"/>
              <w:right w:type="dxa" w:w="160"/>
            </w:tcMar>
          </w:tcPr>
          <w:p>
            <w:pPr>
              <w:spacing w:after="60"/>
            </w:pPr>
            <w:r>
              <w:rPr>
                <w:b/>
                <w:bCs/>
                <w:color w:val="9B111E"/>
              </w:rPr>
              <w:t xml:space="preserve">Auszufüllen — Betrachtungshorizont</w:t>
            </w:r>
          </w:p>
          <w:p>
            <w:pPr>
              <w:spacing w:after="40"/>
            </w:pPr>
            <w:r>
              <w:rPr>
                <w:i/>
                <w:iCs/>
                <w:color w:val="6B778C"/>
              </w:rPr>
              <w:t xml:space="preserve">Betrachtungshorizont H (Anzahl Jahre der Fortschreibung): [eintragen]</w:t>
            </w:r>
          </w:p>
          <w:p>
            <w:pPr>
              <w:spacing w:after="40"/>
            </w:pPr>
            <w:r>
              <w:rPr>
                <w:i/>
                <w:iCs/>
                <w:color w:val="6B778C"/>
              </w:rPr>
              <w:t xml:space="preserve">Angesetzte jährliche Abgangsquote q: [aktuell 6 Prozent, bestätigen]</w:t>
            </w:r>
          </w:p>
        </w:tc>
      </w:tr>
    </w:tbl>
    <w:p>
      <w:pPr>
        <w:spacing w:after="120" w:before="0"/>
      </w:pPr>
      <w:r>
        <w:rPr>
          <w:i/>
          <w:iCs/>
        </w:rPr>
        <w:t xml:space="preserve">Schritt 4 - Mehrwert.</w:t>
      </w:r>
      <w:r>
        <w:t xml:space="preserve"> Der Mehrwert ergibt sich durch Abzug der dem Handlungsfeld zuzuordnenden Kosten. Unmittelbar dem Use Case zuzuordnende Kosten für Druck und Versand fallen in beiden Gruppen in gleicher Höhe an, da die Rechnungsmenge unverändert bleibt; sie heben sich in der Differenz auf.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FE1E6" w:sz="4"/>
              <w:left w:val="single" w:color="DFE1E6" w:sz="4"/>
              <w:bottom w:val="single" w:color="DFE1E6" w:sz="4"/>
              <w:right w:val="single" w:color="DFE1E6" w:sz="4"/>
            </w:tcBorders>
            <w:shd w:fill="F4F5F7" w:val="clear"/>
            <w:tcMar>
              <w:top w:type="dxa" w:w="120"/>
              <w:left w:type="dxa" w:w="160"/>
              <w:bottom w:type="dxa" w:w="120"/>
              <w:right w:type="dxa" w:w="160"/>
            </w:tcMar>
          </w:tcPr>
          <w:p>
            <w:pPr>
              <w:spacing w:after="0"/>
              <w:jc w:val="center"/>
            </w:pPr>
            <w:r>
              <w:rPr>
                <w:b/>
                <w:bCs/>
              </w:rPr>
              <w:t xml:space="preserve">Mehrwert  =  Nutzen_gesamt  -  Handlungsfeldkosten</w:t>
            </w:r>
          </w:p>
        </w:tc>
      </w:tr>
    </w:tbl>
    <w:p>
      <w:pPr>
        <w:spacing w:after="80" w:before="180"/>
      </w:pPr>
      <w:r>
        <w:rPr>
          <w:b/>
          <w:bCs/>
        </w:rPr>
        <w:t xml:space="preserve">(i)  Konsistenz und statistische Absicherung</w:t>
      </w:r>
    </w:p>
    <w:p>
      <w:pPr>
        <w:spacing w:after="120" w:before="0"/>
      </w:pPr>
      <w:r>
        <w:t xml:space="preserve">Die Messung ist bei gegebenem Datenstand deterministisch reproduzierbar. Die statistische Belastbarkeit wird je Kennzahl über einen Zweistichproben-t-Test nach Welch sowie 95-Prozent-Konfidenzintervalle geprüft.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EEBFF" w:sz="2"/>
              <w:left w:val="single" w:color="0052CC" w:sz="24"/>
              <w:bottom w:val="single" w:color="DEEBFF" w:sz="2"/>
              <w:right w:val="single" w:color="DEEBFF" w:sz="2"/>
            </w:tcBorders>
            <w:shd w:fill="DEEBFF" w:val="clear"/>
            <w:tcMar>
              <w:top w:type="dxa" w:w="120"/>
              <w:left w:type="dxa" w:w="160"/>
              <w:bottom w:type="dxa" w:w="120"/>
              <w:right w:type="dxa" w:w="160"/>
            </w:tcMar>
          </w:tcPr>
          <w:p>
            <w:pPr>
              <w:spacing w:after="60"/>
            </w:pPr>
            <w:r>
              <w:rPr>
                <w:b/>
                <w:bCs/>
              </w:rPr>
              <w:t xml:space="preserve">Umgang mit dem Signifikanzniveau</w:t>
            </w:r>
          </w:p>
          <w:p>
            <w:pPr>
              <w:spacing w:after="0"/>
            </w:pPr>
            <w:r>
              <w:t xml:space="preserve">Die maßgebliche Zielgröße erreicht nicht in jeder Messung das 5-Prozent-Niveau. Der Nutzen wird dennoch als Punktschätzer ausgewiesen; p-Wert und Konfidenzintervall werden verpflichtend mitgeführt. Die Kündigungsquote wird als zweite, in der Regel signifikante Kennzahl daneben berichtet, ersetzt die Zielgröße aber nicht.</w:t>
            </w:r>
          </w:p>
        </w:tc>
      </w:tr>
    </w:tbl>
    <w:p>
      <w:pPr>
        <w:spacing w:after="80" w:before="180"/>
      </w:pPr>
      <w:r>
        <w:rPr>
          <w:b/>
          <w:bCs/>
        </w:rPr>
        <w:t xml:space="preserve">(j)  Erster Messtermin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Erstmessung</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Jahreswechsel 24/25.</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Weitere Instanziierungen</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Je Jahreswechsel, dokumentiert in Abschnitt 3.</w:t>
            </w:r>
          </w:p>
        </w:tc>
      </w:tr>
    </w:tbl>
    <w:p>
      <w:pPr>
        <w:pStyle w:val="Heading2"/>
        <w:spacing w:after="120" w:before="240"/>
      </w:pPr>
      <w:r>
        <w:t xml:space="preserve">1.3  Experimentaufbau für die Datensammlung</w:t>
      </w:r>
    </w:p>
    <w:p>
      <w:pPr>
        <w:pStyle w:val="Heading3"/>
        <w:spacing w:after="120" w:before="240"/>
      </w:pPr>
      <w:r>
        <w:t xml:space="preserve">1.3.1  Randomisierung und Samplegrößen</w:t>
      </w:r>
    </w:p>
    <w:p>
      <w:pPr>
        <w:spacing w:after="120" w:before="0"/>
      </w:pPr>
      <w:r>
        <w:t xml:space="preserve">Die Rechnungen des Versandzeitraums werden auf Rechnungsebene zufällig auf zwei Gruppen aufgeteilt. Die Random-Gruppe wird in zufälliger Reihenfolge versandt und dient als Grundlage für die Nachstellung der Vergleichs-Policy. Realisierte Aufteilung im Jahreswechsel 25/26, Kanal Post: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rPr>
          <w:tblHeader/>
        </w:trPr>
        <w:tc>
          <w:tcPr>
            <w:tcW w:type="dxa" w:w="30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Gruppe</w:t>
            </w:r>
          </w:p>
        </w:tc>
        <w:tc>
          <w:tcPr>
            <w:tcW w:type="dxa" w:w="26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Anzahl</w:t>
            </w:r>
          </w:p>
        </w:tc>
        <w:tc>
          <w:tcPr>
            <w:tcW w:type="dxa" w:w="34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Anteil</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Optimierung Post</w:t>
            </w:r>
          </w:p>
        </w:tc>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2.983.163</w:t>
            </w:r>
          </w:p>
        </w:tc>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80,02 Prozent</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Random Post</w:t>
            </w:r>
          </w:p>
        </w:tc>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744.877</w:t>
            </w:r>
          </w:p>
        </w:tc>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19,98 Prozent</w:t>
            </w:r>
          </w:p>
        </w:tc>
      </w:tr>
      <w:tr>
        <w:tc>
          <w:tcPr>
            <w:tcW w:type="dxa" w:w="30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Summe</w:t>
            </w:r>
          </w:p>
        </w:tc>
        <w:tc>
          <w:tcPr>
            <w:tcW w:type="dxa" w:w="26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3.728.040</w:t>
            </w:r>
          </w:p>
        </w:tc>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100 Prozent</w:t>
            </w:r>
          </w:p>
        </w:tc>
      </w:tr>
    </w:tbl>
    <w:p>
      <w:pPr>
        <w:spacing w:after="120" w:before="0"/>
      </w:pPr>
      <w:r>
        <w:t xml:space="preserve">Die für die Auswertung nutzbare Fallzahl der Baseline liegt unterhalb der Random-Gruppe, da die Nachstellung nur einen Teil der Random-Fälle behält. Diese Fallzahl ist der begrenzende Faktor für die Teststärke und wird je Messung dokumentiert (Abschnitt 3).</w:t>
      </w:r>
    </w:p>
    <w:p>
      <w:pPr>
        <w:pStyle w:val="Heading3"/>
        <w:spacing w:after="120" w:before="240"/>
      </w:pPr>
      <w:r>
        <w:t xml:space="preserve">1.3.2  Nachstellung der Alternativ-Versand-Policy</w:t>
      </w:r>
    </w:p>
    <w:p>
      <w:pPr>
        <w:spacing w:after="120" w:before="0"/>
      </w:pPr>
      <w:r>
        <w:t xml:space="preserve">Die Vergleichs-Policy bildet zwei Eigenschaften gleichzeitig ab: die Sortierung nach aufsteigender Partner-ID und die Versandmengenverteilung des Jahreswechsels 22/23. Sie wird aus der Random-Gruppe wie folgt nachgestellt:</w:t>
      </w:r>
    </w:p>
    <w:p>
      <w:pPr>
        <w:pStyle w:val="ListParagraph"/>
        <w:numPr>
          <w:ilvl w:val="0"/>
          <w:numId w:val="2"/>
        </w:numPr>
        <w:spacing w:after="80"/>
      </w:pPr>
      <w:r>
        <w:t xml:space="preserve">Die Partner-IDs werden in 1.000 gleich große Quantile eingeteilt.</w:t>
      </w:r>
    </w:p>
    <w:p>
      <w:pPr>
        <w:pStyle w:val="ListParagraph"/>
        <w:numPr>
          <w:ilvl w:val="0"/>
          <w:numId w:val="2"/>
        </w:numPr>
        <w:spacing w:after="80"/>
      </w:pPr>
      <w:r>
        <w:t xml:space="preserve">Diese Quantile werden zu vier Gruppen gebündelt. Die Gruppengrenzen liegen bei 325, 674 und 941.</w:t>
      </w:r>
    </w:p>
    <w:p>
      <w:pPr>
        <w:pStyle w:val="ListParagraph"/>
        <w:numPr>
          <w:ilvl w:val="0"/>
          <w:numId w:val="2"/>
        </w:numPr>
        <w:spacing w:after="80"/>
      </w:pPr>
      <w:r>
        <w:t xml:space="preserve">Die Versandwochen werden zu vier Blöcken von je zwei Wochen zusammengefasst.</w:t>
      </w:r>
    </w:p>
    <w:p>
      <w:pPr>
        <w:pStyle w:val="ListParagraph"/>
        <w:numPr>
          <w:ilvl w:val="0"/>
          <w:numId w:val="2"/>
        </w:numPr>
        <w:spacing w:after="80"/>
      </w:pPr>
      <w:r>
        <w:t xml:space="preserve">Behalten werden ausschließlich die Fälle, bei denen die Partner-Gruppe dem Wochenblock entspricht.</w:t>
      </w:r>
    </w:p>
    <w:p>
      <w:pPr>
        <w:spacing w:after="120" w:before="0"/>
      </w:pPr>
      <w:r>
        <w:t xml:space="preserve">Die Gruppengrenzen sind nicht frei gewählt, sondern entsprechen den kumulierten Versandmengenanteilen des Jahreswechsels 22/23. Dadurch ist die Mengen-Policy in der Nachstellung mit abgebildet: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Wochenblock</w:t>
            </w:r>
          </w:p>
        </w:tc>
        <w:tc>
          <w:tcPr>
            <w:tcW w:type="dxa" w:w="23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Menge 22/23</w:t>
            </w:r>
          </w:p>
        </w:tc>
        <w:tc>
          <w:tcPr>
            <w:tcW w:type="dxa" w:w="24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kumulierter Anteil</w:t>
            </w:r>
          </w:p>
        </w:tc>
        <w:tc>
          <w:tcPr>
            <w:tcW w:type="dxa" w:w="24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Gruppengrenze</w:t>
            </w:r>
          </w:p>
        </w:tc>
      </w:tr>
      <w:tr>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Wochen 1 bis 2</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2.170.000</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32,58 Prozent</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325</w:t>
            </w:r>
          </w:p>
        </w:tc>
      </w:tr>
      <w:tr>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Wochen 3 bis 4</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2.320.000</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67,42 Prozent</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674</w:t>
            </w:r>
          </w:p>
        </w:tc>
      </w:tr>
      <w:tr>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Wochen 5 bis 6</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1.780.000</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94,14 Prozent</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941</w:t>
            </w:r>
          </w:p>
        </w:tc>
      </w:tr>
      <w:tr>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Wochen 7 bis 8</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390.000</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100,00 Prozent</w:t>
            </w:r>
          </w:p>
        </w:tc>
        <w:tc>
          <w:tcPr>
            <w:tcW w:type="dxa" w:w="2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1000</w:t>
            </w:r>
          </w:p>
        </w:tc>
      </w:tr>
    </w:tbl>
    <w:p>
      <w:pPr>
        <w:pStyle w:val="Heading3"/>
        <w:spacing w:after="120" w:before="240"/>
      </w:pPr>
      <w:r>
        <w:t xml:space="preserve">1.3.3  Datenbasis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Versanddaten</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Rechnungen des Jahreswechsels mit Gruppenzuordnung und Versandtag, Kanal Post.</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Kündigungen</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Abgangsdatei zum festgelegten Auswertungsstichtag.</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Kundenwerte</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Kundenwertdatei Kfz zum festgelegten Stand.</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Verknüpfung</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Join über die Vertragsakte-ID. Mehrfacheinträge im Kundenwert werden je Vertragsakte gemittelt.</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Abgeleitete Größe</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Kündigung × Kundenwert je Rechnung als Träger der verlorenen Profitabilität.</w:t>
            </w:r>
          </w:p>
        </w:tc>
      </w:tr>
    </w:tbl>
    <w:p>
      <w:pPr>
        <w:spacing w:after="120" w:before="0"/>
      </w:pPr>
      <w:r>
        <w:t xml:space="preserve">Die Nutzenmessung verwendet ausschließlich im laufenden Versandzyklus erhobene Experimentdaten. Historische Daten gehen nur über die Mengenverteilung des Jahreswechsels 22/23 in die Definition der Vergleichs-Policy ein.</w:t>
      </w:r>
    </w:p>
    <w:p>
      <w:pPr>
        <w:pStyle w:val="Heading2"/>
        <w:spacing w:after="120" w:before="240"/>
      </w:pPr>
      <w:r>
        <w:t xml:space="preserve">1.4  Datenauswertung und Entscheidungen</w:t>
      </w:r>
    </w:p>
    <w:p>
      <w:pPr>
        <w:spacing w:after="120" w:before="0"/>
      </w:pPr>
      <w:r>
        <w:t xml:space="preserve">Je Jahreswechsel wird der Messwert wie folgt bestimmt:</w:t>
      </w:r>
    </w:p>
    <w:p>
      <w:pPr>
        <w:pStyle w:val="ListParagraph"/>
        <w:numPr>
          <w:ilvl w:val="0"/>
          <w:numId w:val="3"/>
        </w:numPr>
        <w:spacing w:after="80"/>
      </w:pPr>
      <w:r>
        <w:t xml:space="preserve">Zusammenführen von Versanddaten, Abgangsdaten und Kundenwerten.</w:t>
      </w:r>
    </w:p>
    <w:p>
      <w:pPr>
        <w:pStyle w:val="ListParagraph"/>
        <w:numPr>
          <w:ilvl w:val="0"/>
          <w:numId w:val="3"/>
        </w:numPr>
        <w:spacing w:after="80"/>
      </w:pPr>
      <w:r>
        <w:t xml:space="preserve">Nachstellung der Alternativ-Versand-Policy aus der Random-Gruppe (Abschnitt 1.3.2).</w:t>
      </w:r>
    </w:p>
    <w:p>
      <w:pPr>
        <w:pStyle w:val="ListParagraph"/>
        <w:numPr>
          <w:ilvl w:val="0"/>
          <w:numId w:val="3"/>
        </w:numPr>
        <w:spacing w:after="80"/>
      </w:pPr>
      <w:r>
        <w:t xml:space="preserve">Berechnung der Mittelwerte für Kündigung sowie Kündigung × Kundenwert in beiden Gruppen.</w:t>
      </w:r>
    </w:p>
    <w:p>
      <w:pPr>
        <w:pStyle w:val="ListParagraph"/>
        <w:numPr>
          <w:ilvl w:val="0"/>
          <w:numId w:val="3"/>
        </w:numPr>
        <w:spacing w:after="80"/>
      </w:pPr>
      <w:r>
        <w:t xml:space="preserve">Bildung der Differenz Baseline minus Optimierung je Rechnung.</w:t>
      </w:r>
    </w:p>
    <w:p>
      <w:pPr>
        <w:pStyle w:val="ListParagraph"/>
        <w:numPr>
          <w:ilvl w:val="0"/>
          <w:numId w:val="3"/>
        </w:numPr>
        <w:spacing w:after="80"/>
      </w:pPr>
      <w:r>
        <w:t xml:space="preserve">Hochskalierung auf die Anzahl optimierter Rechnungen; Ergebnis ist der Nutzen des ersten Jahres.</w:t>
      </w:r>
    </w:p>
    <w:p>
      <w:pPr>
        <w:pStyle w:val="ListParagraph"/>
        <w:numPr>
          <w:ilvl w:val="0"/>
          <w:numId w:val="3"/>
        </w:numPr>
        <w:spacing w:after="80"/>
      </w:pPr>
      <w:r>
        <w:t xml:space="preserve">Fortschreibung auf den festgelegten Betrachtungshorizont und Abzug der Handlungsfeldkosten.</w:t>
      </w:r>
    </w:p>
    <w:p>
      <w:pPr>
        <w:pStyle w:val="ListParagraph"/>
        <w:numPr>
          <w:ilvl w:val="0"/>
          <w:numId w:val="3"/>
        </w:numPr>
        <w:spacing w:after="80"/>
      </w:pPr>
      <w:r>
        <w:t xml:space="preserve">Durchführung der t-Tests und Ausweis von p-Wert und Konfidenzintervall.</w:t>
      </w:r>
    </w:p>
    <w:p>
      <w:pPr>
        <w:spacing w:after="80" w:before="180"/>
      </w:pPr>
      <w:r>
        <w:rPr>
          <w:b/>
          <w:bCs/>
        </w:rPr>
        <w:t xml:space="preserve">Entscheidungsregeln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Kanalabgrenzung</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Nutzen wird ausschließlich für den Kanal Post ausgewiesen. Der Kanal E-Box bleibt bis zum Abschluss der erneuten Randomisierung unberücksichtigt und wird nicht saldiert.</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Keine Mittelung</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Der Nutzen wird je Jahreswechsel einzeln ausgewiesen. Jede Messung steht für sich.</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Maßgebliche Zielgröße</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Grundlage des Nutzens ist die Delta verlorene Profitabilität gesamt. Die Kündigungsanzahl wird begleitend berichtet.</w:t>
            </w:r>
          </w:p>
        </w:tc>
      </w:tr>
      <w:tr>
        <w:tc>
          <w:tcPr>
            <w:tcW w:type="dxa" w:w="306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Umgang mit Signifikanz</w:t>
            </w:r>
          </w:p>
        </w:tc>
        <w:tc>
          <w:tcPr>
            <w:tcW w:type="dxa" w:w="594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Ein nicht signifikantes Ergebnis führt nicht zum Verwerfen des Punktschätzers, wird aber transparent ausgewiesen.</w:t>
            </w:r>
          </w:p>
        </w:tc>
      </w:tr>
    </w:tbl>
    <w:p>
      <w:pPr>
        <w:pStyle w:val="Heading1"/>
        <w:spacing w:after="120" w:before="240"/>
      </w:pPr>
      <w:r>
        <w:t xml:space="preserve">2  Verweis auf die Referenzimplementierung</w:t>
      </w:r>
    </w:p>
    <w:p>
      <w:pPr>
        <w:spacing w:after="120" w:before="0"/>
      </w:pPr>
      <w:r>
        <w:t xml:space="preserve">Das Messkonzept ist als versionierter, abnehmbarer Code umgesetzt, sodass ein nicht am Handlungsfeld beteiligter Mitarbeiter in DA01 Konzept und Implementierung abgleichen kann. Anpassungen aufgrund neuer Datenstände oder Versandzyklen sind erwartbar.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B111E" w:sz="8"/>
              <w:left w:val="dashed" w:color="9B111E" w:sz="8"/>
              <w:bottom w:val="dashed" w:color="9B111E" w:sz="8"/>
              <w:right w:val="dashed" w:color="9B111E" w:sz="8"/>
            </w:tcBorders>
            <w:shd w:fill="FFF0F0" w:val="clear"/>
            <w:tcMar>
              <w:top w:type="dxa" w:w="120"/>
              <w:left w:type="dxa" w:w="160"/>
              <w:bottom w:type="dxa" w:w="120"/>
              <w:right w:type="dxa" w:w="160"/>
            </w:tcMar>
          </w:tcPr>
          <w:p>
            <w:pPr>
              <w:spacing w:after="60"/>
            </w:pPr>
            <w:r>
              <w:rPr>
                <w:b/>
                <w:bCs/>
                <w:color w:val="9B111E"/>
              </w:rPr>
              <w:t xml:space="preserve">Auszufüllen — Referenzimplementierung</w:t>
            </w:r>
          </w:p>
          <w:p>
            <w:pPr>
              <w:spacing w:after="40"/>
            </w:pPr>
            <w:r>
              <w:rPr>
                <w:i/>
                <w:iCs/>
                <w:color w:val="6B778C"/>
              </w:rPr>
              <w:t xml:space="preserve">Ablageort (Domino-Projekt / GitLab / TFS): [Pfad eintragen]</w:t>
            </w:r>
          </w:p>
          <w:p>
            <w:pPr>
              <w:spacing w:after="40"/>
            </w:pPr>
            <w:r>
              <w:rPr>
                <w:i/>
                <w:iCs/>
                <w:color w:val="6B778C"/>
              </w:rPr>
              <w:t xml:space="preserve">Notebook bzw. Einstiegspunkt: [eintragen]</w:t>
            </w:r>
          </w:p>
          <w:p>
            <w:pPr>
              <w:spacing w:after="40"/>
            </w:pPr>
            <w:r>
              <w:rPr>
                <w:i/>
                <w:iCs/>
                <w:color w:val="6B778C"/>
              </w:rPr>
              <w:t xml:space="preserve">Version / Stand / Commit: [eintragen]</w:t>
            </w:r>
          </w:p>
          <w:p>
            <w:pPr>
              <w:spacing w:after="40"/>
            </w:pPr>
            <w:r>
              <w:rPr>
                <w:i/>
                <w:iCs/>
                <w:color w:val="6B778C"/>
              </w:rPr>
              <w:t xml:space="preserve">Abnahmestand und Freigabe: [Datum, Verantwortliche(r)]</w:t>
            </w:r>
          </w:p>
        </w:tc>
      </w:tr>
    </w:tbl>
    <w:p>
      <w:pPr>
        <w:pStyle w:val="Heading1"/>
        <w:spacing w:after="120" w:before="240"/>
      </w:pPr>
      <w:r>
        <w:t xml:space="preserve">3  Durchführung der Einzelmessungen</w:t>
      </w:r>
    </w:p>
    <w:p>
      <w:pPr>
        <w:spacing w:after="120" w:before="0"/>
      </w:pPr>
      <w:r>
        <w:t xml:space="preserve">Jede Messung wird als eigene Instanziierung dokumentiert und umfasst alle Messgrößen, die verwendeten Parameter sowie Auffälligkeiten und Sonderfälle.</w:t>
      </w:r>
    </w:p>
    <w:p>
      <w:pPr>
        <w:pStyle w:val="Heading2"/>
        <w:spacing w:after="120" w:before="240"/>
      </w:pPr>
      <w:r>
        <w:t xml:space="preserve">3.1  Vorlage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tblHeader/>
        </w:trPr>
        <w:tc>
          <w:tcPr>
            <w:tcW w:type="dxa" w:w="342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Feld</w:t>
            </w:r>
          </w:p>
        </w:tc>
        <w:tc>
          <w:tcPr>
            <w:tcW w:type="dxa" w:w="558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Jahreswechsel</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[z. B. 25/26]</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Kanal</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[Post]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Auswertungsstichtag Abgänge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[Datum]</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Stand Kundenwerte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[Datum]</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Anzahl optimierter Rechnungen</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Anzahl Random-Rechnungen</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Fallzahl Baseline nach Nachstellung</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Ø Kündigungsquote Optimierung</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Ø Kündigungsquote Baseline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Delta absolute Kündigungsanzahl</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Ø Kündigung × Kundenwert Optimierung</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Ø Kündigung × Kundenwert Baseline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Delta verlorene Profitabilität gesamt</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[Euro]</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p-Wert und Konfidenzintervall der Zielgröße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[Wert]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Angesetzte Abgangsquote q</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[Prozent]</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Betrachtungshorizont H</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[Jahre]</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Nutzen gesamt über H</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[Euro]</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Handlungsfeldkosten</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[Euro]</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Mehrwert</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[Euro]</w:t>
            </w:r>
          </w:p>
        </w:tc>
      </w:tr>
      <w:tr>
        <w:tc>
          <w:tcPr>
            <w:tcW w:type="dxa" w:w="342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Auffälligkeiten und Sonderfälle</w:t>
            </w:r>
          </w:p>
        </w:tc>
        <w:tc>
          <w:tcPr>
            <w:tcW w:type="dxa" w:w="558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i/>
                <w:iCs/>
                <w:color w:val="6B778C"/>
              </w:rPr>
              <w:t xml:space="preserve">[Anmerkungen]</w:t>
            </w:r>
          </w:p>
        </w:tc>
      </w:tr>
    </w:tbl>
    <w:p>
      <w:pPr>
        <w:pStyle w:val="Heading2"/>
        <w:spacing w:after="120" w:before="240"/>
      </w:pPr>
      <w:r>
        <w:t xml:space="preserve">3.2  Instanziierung Jahreswechsel 25/26, Kanal Post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2300"/>
      </w:tblGrid>
      <w:tr>
        <w:trPr>
          <w:tblHeader/>
        </w:trPr>
        <w:tc>
          <w:tcPr>
            <w:tcW w:type="dxa" w:w="29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Metrik</w:t>
            </w:r>
          </w:p>
        </w:tc>
        <w:tc>
          <w:tcPr>
            <w:tcW w:type="dxa" w:w="19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Ø Optimierung</w:t>
            </w:r>
          </w:p>
        </w:tc>
        <w:tc>
          <w:tcPr>
            <w:tcW w:type="dxa" w:w="19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Ø Baseline</w:t>
            </w:r>
          </w:p>
        </w:tc>
        <w:tc>
          <w:tcPr>
            <w:tcW w:type="dxa" w:w="23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Delta gesamt</w:t>
            </w:r>
          </w:p>
        </w:tc>
      </w:tr>
      <w:tr>
        <w:tc>
          <w:tcPr>
            <w:tcW w:type="dxa" w:w="2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Kündigungen</w:t>
            </w:r>
          </w:p>
        </w:tc>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0,0268</w:t>
            </w:r>
          </w:p>
        </w:tc>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0,0286</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5.275 vermiedene Kündigungen</w:t>
            </w:r>
          </w:p>
        </w:tc>
      </w:tr>
      <w:tr>
        <w:tc>
          <w:tcPr>
            <w:tcW w:type="dxa" w:w="2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Kündigung × Kundenwert</w:t>
            </w:r>
          </w:p>
        </w:tc>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1,5656</w:t>
            </w:r>
          </w:p>
        </w:tc>
        <w:tc>
          <w:tcPr>
            <w:tcW w:type="dxa" w:w="1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1,6795</w:t>
            </w:r>
          </w:p>
        </w:tc>
        <w:tc>
          <w:tcPr>
            <w:tcW w:type="dxa" w:w="23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bCs/>
              </w:rPr>
              <w:t xml:space="preserve">339.860 Euro</w:t>
            </w:r>
          </w:p>
        </w:tc>
      </w:tr>
    </w:tbl>
    <w:p>
      <w:pPr>
        <w:spacing w:after="80" w:before="180"/>
      </w:pPr>
      <w:r>
        <w:rPr>
          <w:b/>
          <w:bCs/>
        </w:rPr>
        <w:t xml:space="preserve">Statistische Absicherung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900"/>
      </w:tblGrid>
      <w:tr>
        <w:trPr>
          <w:tblHeader/>
        </w:trPr>
        <w:tc>
          <w:tcPr>
            <w:tcW w:type="dxa" w:w="34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Kennzahl</w:t>
            </w:r>
          </w:p>
        </w:tc>
        <w:tc>
          <w:tcPr>
            <w:tcW w:type="dxa" w:w="17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p-Wert</w:t>
            </w:r>
          </w:p>
        </w:tc>
        <w:tc>
          <w:tcPr>
            <w:tcW w:type="dxa" w:w="3900"/>
            <w:tcBorders>
              <w:top w:val="single" w:color="DFE1E6" w:sz="4"/>
              <w:left w:val="single" w:color="DFE1E6" w:sz="4"/>
              <w:bottom w:val="single" w:color="DFE1E6" w:sz="4"/>
              <w:right w:val="single" w:color="DFE1E6" w:sz="4"/>
            </w:tcBorders>
            <w:shd w:fill="F4F5F7" w:val="clear"/>
            <w:tcMar>
              <w:top w:type="dxa" w:w="70"/>
              <w:left w:type="dxa" w:w="110"/>
              <w:bottom w:type="dxa" w:w="70"/>
              <w:right w:type="dxa" w:w="110"/>
            </w:tcMar>
          </w:tcPr>
          <w:p>
            <w:pPr>
              <w:spacing w:after="0"/>
            </w:pPr>
            <w:r>
              <w:rPr>
                <w:b/>
                <w:bCs/>
              </w:rPr>
              <w:t xml:space="preserve">Bewertung</w:t>
            </w:r>
          </w:p>
        </w:tc>
      </w:tr>
      <w:tr>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Kündigungsquote</w:t>
            </w:r>
          </w:p>
        </w:tc>
        <w:tc>
          <w:tcPr>
            <w:tcW w:type="dxa" w:w="17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kleiner 0,0001</w:t>
            </w:r>
          </w:p>
        </w:tc>
        <w:tc>
          <w:tcPr>
            <w:tcW w:type="dxa" w:w="3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Signifikant auf dem 5-Prozent-Niveau</w:t>
            </w:r>
          </w:p>
        </w:tc>
      </w:tr>
      <w:tr>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Kündigung × Kundenwert</w:t>
            </w:r>
          </w:p>
        </w:tc>
        <w:tc>
          <w:tcPr>
            <w:tcW w:type="dxa" w:w="17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0,0638</w:t>
            </w:r>
          </w:p>
        </w:tc>
        <w:tc>
          <w:tcPr>
            <w:tcW w:type="dxa" w:w="3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Nicht signifikant auf dem 5-Prozent-Niveau; Punktschätzer wird gemäß Entscheidungsregel ausgewiesen</w:t>
            </w:r>
          </w:p>
        </w:tc>
      </w:tr>
      <w:tr>
        <w:tc>
          <w:tcPr>
            <w:tcW w:type="dxa" w:w="34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Kundenwert bei Kündigung</w:t>
            </w:r>
          </w:p>
        </w:tc>
        <w:tc>
          <w:tcPr>
            <w:tcW w:type="dxa" w:w="17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0,8524</w:t>
            </w:r>
          </w:p>
        </w:tc>
        <w:tc>
          <w:tcPr>
            <w:tcW w:type="dxa" w:w="3900"/>
            <w:tcBorders>
              <w:top w:val="single" w:color="DFE1E6" w:sz="4"/>
              <w:left w:val="single" w:color="DFE1E6" w:sz="4"/>
              <w:bottom w:val="single" w:color="DFE1E6" w:sz="4"/>
              <w:right w:val="single" w:color="DFE1E6" w:sz="4"/>
            </w:tcBorders>
            <w:tcMar>
              <w:top w:type="dxa" w:w="70"/>
              <w:left w:type="dxa" w:w="110"/>
              <w:bottom w:type="dxa" w:w="70"/>
              <w:right w:type="dxa" w:w="110"/>
            </w:tcMar>
          </w:tcPr>
          <w:p>
            <w:pPr>
              <w:spacing w:after="0"/>
            </w:pPr>
            <w:r>
              <w:rPr>
                <w:b w:val="false"/>
                <w:bCs w:val="false"/>
              </w:rPr>
              <w:t xml:space="preserve">Kein signifikanter Unterschied</w:t>
            </w:r>
          </w:p>
        </w:tc>
      </w:tr>
    </w:tbl>
    <w:p>
      <w:pPr>
        <w:spacing w:after="120" w:before="0"/>
      </w:pPr>
      <w:r>
        <w:t xml:space="preserve">Konfidenzintervalle der Zielgröße (95 Prozent): Optimierung 1,5370 bis 1,5942; Baseline 1,5625 bis 1,7965.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FAE6" w:sz="2"/>
              <w:left w:val="single" w:color="FF991F" w:sz="24"/>
              <w:bottom w:val="single" w:color="FFFAE6" w:sz="2"/>
              <w:right w:val="single" w:color="FFFAE6" w:sz="2"/>
            </w:tcBorders>
            <w:shd w:fill="FFFAE6" w:val="clear"/>
            <w:tcMar>
              <w:top w:type="dxa" w:w="120"/>
              <w:left w:type="dxa" w:w="160"/>
              <w:bottom w:type="dxa" w:w="120"/>
              <w:right w:type="dxa" w:w="160"/>
            </w:tcMar>
          </w:tcPr>
          <w:p>
            <w:pPr>
              <w:spacing w:after="60"/>
            </w:pPr>
            <w:r>
              <w:rPr>
                <w:b/>
                <w:bCs/>
              </w:rPr>
              <w:t xml:space="preserve">Auffälligkeit</w:t>
            </w:r>
          </w:p>
          <w:p>
            <w:pPr>
              <w:spacing w:after="0"/>
            </w:pPr>
            <w:r>
              <w:t xml:space="preserve">Im Kanal E-Box lag der Punktschätzer im selben Zyklus bei minus 56.771 Euro, statistisch nicht von null unterscheidbar. Gemäß Entscheidungsregel in Abschnitt 1.4 wird dieser Wert nicht mit dem Post-Ergebnis saldiert. Für E-Box wird eine erneute, breiter angelegte Randomisierung durchgeführt.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651eee8a7542f6fbfd7d4c5f92a57b858c1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Nutzenmesskonzept: Optimierung des Rechnungsversands (Kfz)</dc:title>
  <dc:creator>DA</dc:creator>
  <cp:lastModifiedBy>Un-named</cp:lastModifiedBy>
  <cp:revision>1</cp:revision>
  <dcterms:created xsi:type="dcterms:W3CDTF">2026-07-23T15:43:19.664Z</dcterms:created>
  <dcterms:modified xsi:type="dcterms:W3CDTF">2026-07-23T15:43:19.665Z</dcterms:modified>
</cp:coreProperties>
</file>

<file path=docProps/custom.xml><?xml version="1.0" encoding="utf-8"?>
<Properties xmlns="http://schemas.openxmlformats.org/officeDocument/2006/custom-properties" xmlns:vt="http://schemas.openxmlformats.org/officeDocument/2006/docPropsVTypes"/>
</file>