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Nutzenmesskonzept: Kausale Kundenselektion in der Direktwerbung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Bereich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Analytics &amp; Causal ML (DA)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Handlungsfeld / Use Case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Kausale Uplift-Selektion für Direktwerbeaktionen (Brief &amp; E-Mail)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Entwurf – in Abstimmung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Version / Stand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v0.1 · </w:t>
            </w:r>
            <w:r>
              <w:rPr>
                <w:color w:val="9B111E"/>
              </w:rPr>
              <w:t xml:space="preserve">[Datum eintragen]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EEBFF" w:sz="2"/>
              <w:left w:val="single" w:color="0052CC" w:sz="24"/>
              <w:bottom w:val="single" w:color="DEEBFF" w:sz="2"/>
              <w:right w:val="single" w:color="DEEBFF" w:sz="2"/>
            </w:tcBorders>
            <w:shd w:fill="DEE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Zweck dieses Dokuments</w:t>
            </w:r>
          </w:p>
          <w:p>
            <w:pPr>
              <w:spacing w:after="0"/>
            </w:pPr>
            <w:r>
              <w:t xml:space="preserve">Dieses Dokument beschreibt das Nutzenmesskonzept für die Umstellung der Kundenselektion in Direktwerbeaktionen vom bisherigen Affinitäts-Scoring auf ein kausales Uplift-Modell. Es folgt der von DA vorgegebenen Struktur: (1) Nutzenmesskonzept, (2) Verweis auf die Referenzimplementierung, (3) Durchführung der Einzelmessungen.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FFAE6" w:sz="2"/>
              <w:left w:val="single" w:color="FF991F" w:sz="24"/>
              <w:bottom w:val="single" w:color="FFFAE6" w:sz="2"/>
              <w:right w:val="single" w:color="FFFAE6" w:sz="2"/>
            </w:tcBorders>
            <w:shd w:fill="FFFA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Begriffsklärung (gemäß gültiger DA-Definition)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Nutzen</w:t>
            </w:r>
            <w:r>
              <w:t xml:space="preserve"> = Brutto, vor Handlungsfeld-Kosten, unter Berücksichtigung der unmittelbar dem Use Case zuzuordnenden Kosten (z. B. Versand-/Beauftragungskosten).  </w:t>
            </w:r>
            <w:r>
              <w:rPr>
                <w:b/>
                <w:bCs/>
              </w:rPr>
              <w:t xml:space="preserve">Mehrwert</w:t>
            </w:r>
            <w:r>
              <w:t xml:space="preserve"> = Nutzen abzüglich der dem Handlungsfeld zuzuordnenden Kosten.  Der in Abschnitt 1.2 eingeführte </w:t>
            </w:r>
            <w:r>
              <w:rPr>
                <w:b/>
                <w:bCs/>
              </w:rPr>
              <w:t xml:space="preserve">Nutzenhebel ΔU</w:t>
            </w:r>
            <w:r>
              <w:t xml:space="preserve"> ist die physikalische Messgröße (zusätzliche Abschlüsse); Nutzen und Mehrwert in € werden daraus abgeleitet (Abschnitt 1.2.4 h).</w:t>
            </w:r>
          </w:p>
        </w:tc>
      </w:tr>
    </w:tbl>
    <w:p>
      <w:pPr>
        <w:pStyle w:val="Heading1"/>
        <w:spacing w:after="120" w:before="240"/>
      </w:pPr>
      <w:r>
        <w:t xml:space="preserve">1  Nutzenmesskonzept</w:t>
      </w:r>
    </w:p>
    <w:p>
      <w:pPr>
        <w:pStyle w:val="Heading2"/>
        <w:spacing w:after="120" w:before="240"/>
      </w:pPr>
      <w:r>
        <w:t xml:space="preserve">1.1  Use Case-Definition</w:t>
      </w:r>
    </w:p>
    <w:p>
      <w:pPr>
        <w:pStyle w:val="Heading3"/>
        <w:spacing w:after="120" w:before="240"/>
      </w:pPr>
      <w:r>
        <w:t xml:space="preserve">1.1.1  Wirkhebel und Ziele</w:t>
      </w:r>
    </w:p>
    <w:p>
      <w:pPr>
        <w:spacing w:after="120" w:before="0"/>
      </w:pPr>
      <w:r>
        <w:rPr>
          <w:b/>
          <w:bCs/>
        </w:rPr>
        <w:t xml:space="preserve">Bisheriges Vorgehen (Baseline): Affinitäts-Score. </w:t>
      </w:r>
      <w:r>
        <w:t xml:space="preserve">Der Affinitäts-Score schätzt die Wahrscheinlichkeit P(Abschluss = 1 | X), dass ein Kunde einen Abschluss tätigt — </w:t>
      </w:r>
      <w:r>
        <w:rPr>
          <w:i/>
          <w:iCs/>
        </w:rPr>
        <w:t xml:space="preserve">unabhängig davon, ob er beworben wurde oder nicht</w:t>
      </w:r>
      <w:r>
        <w:t xml:space="preserve">. Kunden mit hohem Affinitäts-Score hätten das gewünschte Verhalten häufig </w:t>
      </w:r>
      <w:r>
        <w:rPr>
          <w:i/>
          <w:iCs/>
        </w:rPr>
        <w:t xml:space="preserve">ohnehin</w:t>
      </w:r>
      <w:r>
        <w:t xml:space="preserve"> gezeigt; sie zu bewerben verursacht Kosten ohne kausalen Zusatznutzen. Im Extremfall werden Kunden beworben, die durch die Maßnahme sogar negativ reagieren („Sleeping Dogs").</w:t>
      </w:r>
    </w:p>
    <w:p>
      <w:pPr>
        <w:spacing w:after="120" w:before="0"/>
      </w:pPr>
      <w:r>
        <w:rPr>
          <w:b/>
          <w:bCs/>
        </w:rPr>
        <w:t xml:space="preserve">Neues Vorgehen: Kausales Uplift Modeling. </w:t>
      </w:r>
      <w:r>
        <w:t xml:space="preserve">Das kausale Modell schätzt den Conditional Average Treatment Effect (CATE):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t xml:space="preserve">τ(x) = E[Y(1) − Y(0) | X = x]</w:t>
            </w:r>
          </w:p>
        </w:tc>
      </w:tr>
    </w:tbl>
    <w:p>
      <w:pPr>
        <w:spacing w:after="120" w:before="0"/>
      </w:pPr>
      <w:r>
        <w:t xml:space="preserve">Dabei ist Y(1) das potenzielle Ergebnis unter Treatment, Y(0) das unter Kontrolle. Der CATE gibt an, um wie viel sich die Abschlusswahrscheinlichkeit </w:t>
      </w:r>
      <w:r>
        <w:rPr>
          <w:i/>
          <w:iCs/>
        </w:rPr>
        <w:t xml:space="preserve">kausal durch die Bewerbung</w:t>
      </w:r>
      <w:r>
        <w:t xml:space="preserve"> ändert — den reinen Uplift.</w:t>
      </w:r>
    </w:p>
    <w:p>
      <w:pPr>
        <w:spacing w:after="120" w:before="0"/>
      </w:pPr>
      <w:r>
        <w:rPr>
          <w:b/>
          <w:bCs/>
        </w:rPr>
        <w:t xml:space="preserve">Wirkhebel: </w:t>
      </w:r>
      <w:r>
        <w:t xml:space="preserve">Bei fest vorgegebener Kampagnengröße werden gezielt die Kunden mit dem höchsten inkrementellen Effekt beworben statt jener mit der höchsten Grundwahrscheinlichkeit. </w:t>
      </w:r>
      <w:r>
        <w:rPr>
          <w:b/>
          <w:bCs/>
        </w:rPr>
        <w:t xml:space="preserve">Ziel: </w:t>
      </w:r>
      <w:r>
        <w:t xml:space="preserve">Mehr kausal ausgelöste Abschlüsse pro Kampagne bei gleichem Mitteleinsatz.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78C"/>
          <w:sz w:val="18"/>
          <w:szCs w:val="18"/>
        </w:rPr>
        <w:t xml:space="preserve">Abb. 1: Kundentypen-Quadranten. Der Affinitäts-Score selektiert entlang der X-Achse, der CATE entlang der Y-Achse.</w:t>
      </w:r>
    </w:p>
    <w:p>
      <w:pPr>
        <w:pStyle w:val="Heading3"/>
        <w:spacing w:after="120" w:before="240"/>
      </w:pPr>
      <w:r>
        <w:t xml:space="preserve">1.1.2  Umfeld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Einsatzfeld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Direktwerbeaktionen über die Kanäle Brief und E-Mail für verschiedene Produkte, u. a. Privathaftpflicht (PHV) und Verkehrsrechtsschutz (VRS).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Erzeugung der Scores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Die kausalen Scores </w:t>
            </w:r>
            <w:r>
              <w:t xml:space="preserve">τ̂(x)</w:t>
            </w:r>
            <w:r>
              <w:t xml:space="preserve"> werden wöchentlich in Batch-Jobs auf dem Kundenbestand erzeugt.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Nutzer / Übergabe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Die Scores werden an die Marketing-Abteilung übergeben und in der Gruppe </w:t>
            </w:r>
            <w:r>
              <w:rPr>
                <w:b/>
                <w:bCs/>
              </w:rPr>
              <w:t xml:space="preserve">MA41</w:t>
            </w:r>
            <w:r>
              <w:t xml:space="preserve"> zur Sortierung und Auswahl der Kunden für die jeweilige Kampagne verwendet.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Veränderungszyklen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Wöchentliche Neuberechnung der Scores; Kampagnen werden fallweise durch das Marketing aufgesetzt. Modell-Retrainings erfolgen anlassbezogen (siehe Abschnitt 1.3).</w:t>
            </w:r>
          </w:p>
        </w:tc>
      </w:tr>
    </w:tbl>
    <w:p>
      <w:pPr>
        <w:pStyle w:val="Heading2"/>
        <w:spacing w:after="120" w:before="240"/>
      </w:pPr>
      <w:r>
        <w:t xml:space="preserve">1.2  Definition der zu messenden Größen</w:t>
      </w:r>
    </w:p>
    <w:p>
      <w:pPr>
        <w:pStyle w:val="Heading3"/>
        <w:spacing w:after="120" w:before="240"/>
      </w:pPr>
      <w:r>
        <w:t xml:space="preserve">1.2.1  Wiederverwendung bestehender Messkonzepte</w:t>
      </w:r>
    </w:p>
    <w:p>
      <w:pPr>
        <w:spacing w:after="120" w:before="0"/>
      </w:pPr>
      <w:r>
        <w:t xml:space="preserve">Ein geeignetes bestehendes Messkonzept lag nicht vor; das hier beschriebene Konzept wurde neu erstellt. Es ist jedoch </w:t>
      </w:r>
      <w:r>
        <w:rPr>
          <w:b/>
          <w:bCs/>
        </w:rPr>
        <w:t xml:space="preserve">produktübergreifend wiederverwendbar</w:t>
      </w:r>
      <w:r>
        <w:t xml:space="preserve"> und wird je Produkt (PHV, VRS, weitere) instanziiert — die Einzelmessungen (Abschnitt 3) dokumentieren die jeweilige Instanziierung.</w:t>
      </w:r>
    </w:p>
    <w:p>
      <w:pPr>
        <w:pStyle w:val="Heading3"/>
        <w:spacing w:after="120" w:before="240"/>
      </w:pPr>
      <w:r>
        <w:t xml:space="preserve">1.2.2  Nutzenhebel, Formel und Baseline</w:t>
      </w:r>
    </w:p>
    <w:p>
      <w:pPr>
        <w:spacing w:after="120" w:before="0"/>
      </w:pPr>
      <w:r>
        <w:t xml:space="preserve">Der Nutzenhebel ist die zusätzliche Wirkung, die allein aus der geänderten Kundenselektion bei </w:t>
      </w:r>
      <w:r>
        <w:rPr>
          <w:i/>
          <w:iCs/>
        </w:rPr>
        <w:t xml:space="preserve">fester</w:t>
      </w:r>
      <w:r>
        <w:t xml:space="preserve"> Kampagnengröße entsteht. Als </w:t>
      </w:r>
      <w:r>
        <w:rPr>
          <w:b/>
          <w:bCs/>
        </w:rPr>
        <w:t xml:space="preserve">Baseline</w:t>
      </w:r>
      <w:r>
        <w:t xml:space="preserve"> dient die frühere Selektion nach Affinitäts-Score. Für beide Selektionsmengen wird der geschätzte CATE </w:t>
      </w:r>
      <w:r>
        <w:rPr>
          <w:i/>
          <w:iCs/>
        </w:rPr>
        <w:t xml:space="preserve">desselben</w:t>
      </w:r>
      <w:r>
        <w:t xml:space="preserve"> kausalen Modells aufsummiert; die Differenz ist der Nutzenhebel: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ΔU</w:t>
            </w:r>
            <w:r>
              <w:t xml:space="preserve">  =  Σ</w:t>
            </w:r>
            <w:r>
              <w:rPr>
                <w:vertAlign w:val="subscript"/>
              </w:rPr>
              <w:t xml:space="preserve">i∈S</w:t>
            </w:r>
            <w:r>
              <w:rPr>
                <w:vertAlign w:val="subscript"/>
              </w:rPr>
              <w:t xml:space="preserve">kausal</w:t>
            </w:r>
            <w:r>
              <w:t xml:space="preserve"> τ̂(x</w:t>
            </w:r>
            <w:r>
              <w:rPr>
                <w:vertAlign w:val="subscript"/>
              </w:rPr>
              <w:t xml:space="preserve">i</w:t>
            </w:r>
            <w:r>
              <w:t xml:space="preserve">)  −  Σ</w:t>
            </w:r>
            <w:r>
              <w:rPr>
                <w:vertAlign w:val="subscript"/>
              </w:rPr>
              <w:t xml:space="preserve">i∈S</w:t>
            </w:r>
            <w:r>
              <w:rPr>
                <w:vertAlign w:val="subscript"/>
              </w:rPr>
              <w:t xml:space="preserve">affinität</w:t>
            </w:r>
            <w:r>
              <w:t xml:space="preserve"> τ̂(x</w:t>
            </w:r>
            <w:r>
              <w:rPr>
                <w:vertAlign w:val="subscript"/>
              </w:rPr>
              <w:t xml:space="preserve">i</w:t>
            </w:r>
            <w:r>
              <w:t xml:space="preserve">)</w:t>
            </w:r>
          </w:p>
        </w:tc>
      </w:tr>
    </w:tbl>
    <w:p>
      <w:pPr>
        <w:spacing w:after="120" w:before="0"/>
      </w:pPr>
      <w:r>
        <w:t xml:space="preserve">Äquivalent als Summe über die Mengendifferenz (die Schnittmenge kürzt sich):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t xml:space="preserve">ΔU  =  Σ</w:t>
            </w:r>
            <w:r>
              <w:rPr>
                <w:vertAlign w:val="subscript"/>
              </w:rPr>
              <w:t xml:space="preserve">i∈(S</w:t>
            </w:r>
            <w:r>
              <w:rPr>
                <w:vertAlign w:val="subscript"/>
              </w:rPr>
              <w:t xml:space="preserve">kausal</w:t>
            </w:r>
            <w:r>
              <w:rPr>
                <w:vertAlign w:val="subscript"/>
              </w:rPr>
              <w:t xml:space="preserve"> \ S</w:t>
            </w:r>
            <w:r>
              <w:rPr>
                <w:vertAlign w:val="subscript"/>
              </w:rPr>
              <w:t xml:space="preserve">affinität</w:t>
            </w:r>
            <w:r>
              <w:rPr>
                <w:vertAlign w:val="subscript"/>
              </w:rPr>
              <w:t xml:space="preserve">)</w:t>
            </w:r>
            <w:r>
              <w:t xml:space="preserve"> τ̂(x</w:t>
            </w:r>
            <w:r>
              <w:rPr>
                <w:vertAlign w:val="subscript"/>
              </w:rPr>
              <w:t xml:space="preserve">i</w:t>
            </w:r>
            <w:r>
              <w:t xml:space="preserve">)  −  Σ</w:t>
            </w:r>
            <w:r>
              <w:rPr>
                <w:vertAlign w:val="subscript"/>
              </w:rPr>
              <w:t xml:space="preserve">i∈(S</w:t>
            </w:r>
            <w:r>
              <w:rPr>
                <w:vertAlign w:val="subscript"/>
              </w:rPr>
              <w:t xml:space="preserve">affinität</w:t>
            </w:r>
            <w:r>
              <w:rPr>
                <w:vertAlign w:val="subscript"/>
              </w:rPr>
              <w:t xml:space="preserve"> \ S</w:t>
            </w:r>
            <w:r>
              <w:rPr>
                <w:vertAlign w:val="subscript"/>
              </w:rPr>
              <w:t xml:space="preserve">kausal</w:t>
            </w:r>
            <w:r>
              <w:rPr>
                <w:vertAlign w:val="subscript"/>
              </w:rPr>
              <w:t xml:space="preserve">)</w:t>
            </w:r>
            <w:r>
              <w:t xml:space="preserve"> τ̂(x</w:t>
            </w:r>
            <w:r>
              <w:rPr>
                <w:vertAlign w:val="subscript"/>
              </w:rPr>
              <w:t xml:space="preserve">i</w:t>
            </w:r>
            <w:r>
              <w:t xml:space="preserve">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3FCEF" w:sz="2"/>
              <w:left w:val="single" w:color="00875A" w:sz="24"/>
              <w:bottom w:val="single" w:color="E3FCEF" w:sz="2"/>
              <w:right w:val="single" w:color="E3FCEF" w:sz="2"/>
            </w:tcBorders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Einheit &amp; Interpretation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ΔU</w:t>
            </w:r>
            <w:r>
              <w:t xml:space="preserve"> ist die erwartete Anzahl </w:t>
            </w:r>
            <w:r>
              <w:rPr>
                <w:i/>
                <w:iCs/>
              </w:rPr>
              <w:t xml:space="preserve">zusätzlicher Abschlüsse</w:t>
            </w:r>
            <w:r>
              <w:t xml:space="preserve">, die die kausale Selektion gegenüber der Affinitäts-Selektion bei identischer, fest vorgegebener Kampagnengröße liefert.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78C"/>
          <w:sz w:val="18"/>
          <w:szCs w:val="18"/>
        </w:rPr>
        <w:t xml:space="preserve">Abb. 2: Selektionsmengen. Der Nutzenhebel ΔU entsteht durch Austausch der orangenen gegen die grüne exklusive Menge.</w:t>
      </w:r>
    </w:p>
    <w:p>
      <w:pPr>
        <w:pStyle w:val="Heading3"/>
        <w:spacing w:after="120" w:before="240"/>
      </w:pPr>
      <w:r>
        <w:t xml:space="preserve">1.2.3  Überschneidung mit anderen Use Cases / Doppelzählung</w:t>
      </w:r>
    </w:p>
    <w:p>
      <w:pPr>
        <w:spacing w:after="120" w:before="0"/>
      </w:pPr>
      <w:r>
        <w:t xml:space="preserve">Eine Doppelzählung des Nutzens mit anderen Marketingmaßnahmen wird ausgeschlossen, indem die im Rahmen einer Aktion behandelten Kunden für den Auswertungszeitraum der Aktion für andere Marketingmaßnahmen </w:t>
      </w:r>
      <w:r>
        <w:rPr>
          <w:b/>
          <w:bCs/>
        </w:rPr>
        <w:t xml:space="preserve">gesperrt</w:t>
      </w:r>
      <w:r>
        <w:t xml:space="preserve"> werden. Dadurch ist der gemessene Effekt eindeutig der jeweiligen Aktion zuzuordnen und wird nicht zusätzlich einem anderen Use Case gutgeschrieben.</w:t>
      </w:r>
    </w:p>
    <w:p>
      <w:pPr>
        <w:pStyle w:val="Heading3"/>
        <w:spacing w:after="120" w:before="240"/>
      </w:pPr>
      <w:r>
        <w:t xml:space="preserve">1.2.4  Definition der quantitativen Metriken</w:t>
      </w:r>
    </w:p>
    <w:p>
      <w:pPr>
        <w:spacing w:after="80" w:before="160"/>
      </w:pPr>
      <w:r>
        <w:rPr>
          <w:b/>
          <w:bCs/>
        </w:rPr>
        <w:t xml:space="preserve">(a)  KPIs mit Definition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4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Einheit</w:t>
            </w:r>
          </w:p>
        </w:tc>
      </w:tr>
      <w:tr>
        <w:tc>
          <w:tcPr>
            <w:tcW w:type="dxa" w:w="2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ΔU</w:t>
            </w:r>
            <w:r>
              <w:t xml:space="preserve"> (Nutzenhebel)</w:t>
            </w:r>
          </w:p>
        </w:tc>
        <w:tc>
          <w:tcPr>
            <w:tcW w:type="dxa" w:w="4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Differenz der aufsummierten CATEs zwischen kausaler und Affinitäts-Selektion</w:t>
            </w:r>
          </w:p>
        </w:tc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Zusätzliche Abschlüsse</w:t>
            </w:r>
          </w:p>
        </w:tc>
      </w:tr>
      <w:tr>
        <w:tc>
          <w:tcPr>
            <w:tcW w:type="dxa" w:w="2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Nutzen</w:t>
            </w:r>
          </w:p>
        </w:tc>
        <w:tc>
          <w:tcPr>
            <w:tcW w:type="dxa" w:w="4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Ökonomische Bewertung von ΔU vor Handlungsfeldkosten (siehe h)</w:t>
            </w:r>
          </w:p>
        </w:tc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€</w:t>
            </w:r>
          </w:p>
        </w:tc>
      </w:tr>
      <w:tr>
        <w:tc>
          <w:tcPr>
            <w:tcW w:type="dxa" w:w="2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Mehrwert</w:t>
            </w:r>
          </w:p>
        </w:tc>
        <w:tc>
          <w:tcPr>
            <w:tcW w:type="dxa" w:w="4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Nutzen abzüglich Handlungsfeldkosten (siehe h)</w:t>
            </w:r>
          </w:p>
        </w:tc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€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(b)  Definierte Gruppen — wo und an wem wird gemessen?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Scoring-Universum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Der gesamte für die Aktion in Frage kommende Kundenbestand zum Scoring-Zeitpunkt (N Kunden).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</w:t>
            </w:r>
            <w:r>
              <w:rPr>
                <w:vertAlign w:val="subscript"/>
              </w:rPr>
              <w:t xml:space="preserve">kausal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Die Top-K Kunden nach </w:t>
            </w:r>
            <w:r>
              <w:t xml:space="preserve">τ̂(x)</w:t>
            </w:r>
            <w:r>
              <w:t xml:space="preserve"> — die tatsächlich beworbene Menge.</w:t>
            </w:r>
          </w:p>
        </w:tc>
      </w:tr>
      <w:tr>
        <w:tc>
          <w:tcPr>
            <w:tcW w:type="dxa" w:w="2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</w:t>
            </w:r>
            <w:r>
              <w:rPr>
                <w:vertAlign w:val="subscript"/>
              </w:rPr>
              <w:t xml:space="preserve">affinität</w:t>
            </w:r>
          </w:p>
        </w:tc>
        <w:tc>
          <w:tcPr>
            <w:tcW w:type="dxa" w:w="6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 Top-K Kunden nach Affinitäts-Score â(x) — die kontrafaktische Vergleichsmenge (frühere Logik).</w:t>
            </w:r>
          </w:p>
        </w:tc>
      </w:tr>
    </w:tbl>
    <w:p>
      <w:pPr>
        <w:spacing w:after="120" w:before="0"/>
      </w:pPr>
      <w:r>
        <w:t xml:space="preserve">K ist die extern durch das Marketing vorgegebene Kampagnengröße; es wird keine Optimalmenge berechnet, sondern die vorgegebene Menge optimal befüllt.</w:t>
      </w:r>
    </w:p>
    <w:p>
      <w:pPr>
        <w:spacing w:after="80" w:before="160"/>
      </w:pPr>
      <w:r>
        <w:rPr>
          <w:b/>
          <w:bCs/>
        </w:rPr>
        <w:t xml:space="preserve">(c)  Messmethode</w:t>
      </w:r>
    </w:p>
    <w:p>
      <w:pPr>
        <w:spacing w:after="120" w:before="0"/>
      </w:pPr>
      <w:r>
        <w:t xml:space="preserve">Die Messung ist eine </w:t>
      </w:r>
      <w:r>
        <w:rPr>
          <w:b/>
          <w:bCs/>
        </w:rPr>
        <w:t xml:space="preserve">Simulation (modellbasierter kontrafaktischer Vergleich)</w:t>
      </w:r>
      <w:r>
        <w:t xml:space="preserve">: Dasselbe validierte Modell </w:t>
      </w:r>
      <w:r>
        <w:t xml:space="preserve">τ̂</w:t>
      </w:r>
      <w:r>
        <w:t xml:space="preserve"> bewertet beide Selektionsmengen; verglichen wird die Selektionslogik, nicht zwei verschiedene Modelle. Es wird pro Kampagne </w:t>
      </w:r>
      <w:r>
        <w:rPr>
          <w:i/>
          <w:iCs/>
        </w:rPr>
        <w:t xml:space="preserve">kein</w:t>
      </w:r>
      <w:r>
        <w:t xml:space="preserve"> laufender randomisierter Holdout geführt — die kausale Gültigkeit stammt aus der Modellerstellung (Abschnitt 1.3).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78C"/>
          <w:sz w:val="18"/>
          <w:szCs w:val="18"/>
        </w:rPr>
        <w:t xml:space="preserve">Abb. 3: Prozessfluss — dieselben τ̂-Werte, zwei verschiedene Selektionen.</w:t>
      </w:r>
    </w:p>
    <w:p>
      <w:pPr>
        <w:spacing w:after="80" w:before="160"/>
      </w:pPr>
      <w:r>
        <w:rPr>
          <w:b/>
          <w:bCs/>
        </w:rPr>
        <w:t xml:space="preserve">(d)  Als konstant angenommene Größen (innerhalb einer Messung)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Kampagnengröße K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Für beide Selektionen identisch und fest vorgegeben.</w:t>
            </w:r>
          </w:p>
        </w:tc>
      </w:tr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Modell </w:t>
            </w:r>
            <w:r>
              <w:t xml:space="preserve">τ̂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Dasselbe Modell bewertet beide Mengen.</w:t>
            </w:r>
          </w:p>
        </w:tc>
      </w:tr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Kundenbestand-Snapshot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Ein fixierter Bestand zum Scoring-Zeitpunkt.</w:t>
            </w:r>
          </w:p>
        </w:tc>
      </w:tr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Produkt, Kanal, Werbemittel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Identisch zwischen den Selektionslogiken.</w:t>
            </w:r>
          </w:p>
        </w:tc>
      </w:tr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Ø Deckungsbeitrag je Abschluss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Innerhalb einer Messung konstant (zwischen Messungen variabel, siehe h).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(e)  Nicht direkt messbare Parameter und Annahmen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rPr>
          <w:tblHeader/>
        </w:trP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Annahme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Begründung</w:t>
            </w:r>
          </w:p>
        </w:tc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Vor-/Nachteil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τ̂</w:t>
            </w:r>
            <w:r>
              <w:rPr>
                <w:b w:val="false"/>
                <w:bCs w:val="false"/>
              </w:rPr>
              <w:t xml:space="preserve"> liefert ein konsistentes Ranking der wahren CATEs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Wird nicht pro Kampagne, sondern bei der Modellerstellung über DRTester und Calibration-Plots auf randomisierten Daten geprüft.</w:t>
            </w:r>
          </w:p>
        </w:tc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 theoretisch fundiert; − Gültigkeit hängt an Kalibrierung und Aktualität des Modells.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Keine Interferenz zwischen Kunden (SUTVA)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 Reaktion eines Kunden hängt nur von seiner eigenen Bewerbung ab.</w:t>
            </w:r>
          </w:p>
        </w:tc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 ermöglicht additive Aufsummierung; − bei Haushalts-/Netzwerkeffekten leicht verzerrt.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Affinitäts-Baseline bildet das reale frühere Vorgehen ab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Der historische Affinitäts-Score ist die dokumentierte Vorgänger-Selektion.</w:t>
            </w:r>
          </w:p>
        </w:tc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 fairer Vergleichsmaßstab; − falls das frühere Vorgehen manuelle Zusatzregeln enthielt, ist die Baseline eine Vereinfachung.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Deckungsbeitrag je Abschluss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Wird als Parameter zum Messzeitpunkt eingesetzt, nicht modelliert.</w:t>
            </w:r>
          </w:p>
        </w:tc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 transparent; − erwarteter, kein realisierter DB.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(f)  Zuordnung des Effekts zur DA-Aktivität</w:t>
      </w:r>
    </w:p>
    <w:p>
      <w:pPr>
        <w:spacing w:after="120" w:before="0"/>
      </w:pPr>
      <w:r>
        <w:t xml:space="preserve">Da K, Produkt, Kanal und Werbemittel zwischen beiden Selektionen konstant gehalten werden, unterscheidet sich </w:t>
      </w:r>
      <w:r>
        <w:rPr>
          <w:i/>
          <w:iCs/>
        </w:rPr>
        <w:t xml:space="preserve">ausschließlich</w:t>
      </w:r>
      <w:r>
        <w:t xml:space="preserve"> die Selektionslogik. Der gemessene Effekt ΔU ist damit vollständig der DA-Aktivität (Umstellung Affinität → Kausalmodell) zuzuordnen und nicht durch Kampagnen-Rahmenbedingungen verzerrt.</w:t>
      </w:r>
    </w:p>
    <w:p>
      <w:pPr>
        <w:spacing w:after="80" w:before="160"/>
      </w:pPr>
      <w:r>
        <w:rPr>
          <w:b/>
          <w:bCs/>
        </w:rPr>
        <w:t xml:space="preserve">(g)  Abdeckung aller relevanten Nutzeneffekte</w:t>
      </w:r>
    </w:p>
    <w:p>
      <w:pPr>
        <w:spacing w:after="120" w:before="0"/>
      </w:pPr>
      <w:r>
        <w:t xml:space="preserve">ΔU erfasst den inkrementellen Abschlusseffekt der besseren Selektion — den Kern-Wirkhebel des Use Cases. Nicht erfasst sind Zweitrundeneffekte (z. B. Cross-/Up-Selling-Folgen, langfristige Kundenbindung, vermiedene Negativreaktionen bei Sleeping Dogs über die Abschlussmetrik hinaus). Diese Grenzen werden bewusst in Kauf genommen; ΔU ist damit eine </w:t>
      </w:r>
      <w:r>
        <w:rPr>
          <w:i/>
          <w:iCs/>
        </w:rPr>
        <w:t xml:space="preserve">konservative</w:t>
      </w:r>
      <w:r>
        <w:t xml:space="preserve"> Nutzengröße.</w:t>
      </w:r>
    </w:p>
    <w:p>
      <w:pPr>
        <w:spacing w:after="80" w:before="160"/>
      </w:pPr>
      <w:r>
        <w:rPr>
          <w:b/>
          <w:bCs/>
        </w:rPr>
        <w:t xml:space="preserve">(h)  Ökonomischer Nutzen inkl. Berechnung</w:t>
      </w:r>
    </w:p>
    <w:p>
      <w:pPr>
        <w:spacing w:after="120" w:before="0"/>
      </w:pPr>
      <w:r>
        <w:t xml:space="preserve">Aus dem Nutzenhebel ΔU wird der ökonomische Nutzen in drei Schritten hergeleitet:</w:t>
      </w:r>
    </w:p>
    <w:p>
      <w:pPr>
        <w:spacing w:after="120" w:before="0"/>
      </w:pPr>
      <w:r>
        <w:rPr>
          <w:i/>
          <w:iCs/>
        </w:rPr>
        <w:t xml:space="preserve">Schritt 1 — Bruttoertrag des Nutzenhebels.</w:t>
      </w:r>
      <w:r>
        <w:t xml:space="preserve"> Jeder zusätzliche Abschluss trägt im Mittel den Deckungsbeitrag DB (produktspezifisch):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t xml:space="preserve">Bruttoertrag  =  ΔU × DB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Schritt 2 — Unmittelbar dem Use Case zuzuordnende Kosten.</w:t>
      </w:r>
      <w:r>
        <w:t xml:space="preserve"> Da die Kampagnengröße K für S</w:t>
      </w:r>
      <w:r>
        <w:rPr>
          <w:vertAlign w:val="subscript"/>
        </w:rPr>
        <w:t xml:space="preserve">kausal</w:t>
      </w:r>
      <w:r>
        <w:t xml:space="preserve"> und S</w:t>
      </w:r>
      <w:r>
        <w:rPr>
          <w:vertAlign w:val="subscript"/>
        </w:rPr>
        <w:t xml:space="preserve">affinität</w:t>
      </w:r>
      <w:r>
        <w:t xml:space="preserve"> identisch fest ist, entstehen in beiden Fällen dieselben Versand- und Beauftragungskosten. Die DA-Aktivität ändert nicht die Anzahl der Maßnahmen, sondern nur deren Adressaten. Diese Kosten heben sich daher im Differenzmaß ΔU auf: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t xml:space="preserve">C</w:t>
            </w:r>
            <w:r>
              <w:rPr>
                <w:vertAlign w:val="subscript"/>
              </w:rPr>
              <w:t xml:space="preserve">Use Case</w:t>
            </w:r>
            <w:r>
              <w:t xml:space="preserve">(S</w:t>
            </w:r>
            <w:r>
              <w:rPr>
                <w:vertAlign w:val="subscript"/>
              </w:rPr>
              <w:t xml:space="preserve">kausal</w:t>
            </w:r>
            <w:r>
              <w:t xml:space="preserve">) − C</w:t>
            </w:r>
            <w:r>
              <w:rPr>
                <w:vertAlign w:val="subscript"/>
              </w:rPr>
              <w:t xml:space="preserve">Use Case</w:t>
            </w:r>
            <w:r>
              <w:t xml:space="preserve">(S</w:t>
            </w:r>
            <w:r>
              <w:rPr>
                <w:vertAlign w:val="subscript"/>
              </w:rPr>
              <w:t xml:space="preserve">affinität</w:t>
            </w:r>
            <w:r>
              <w:t xml:space="preserve">)  =  0</w:t>
            </w:r>
          </w:p>
        </w:tc>
      </w:tr>
    </w:tbl>
    <w:p>
      <w:pPr>
        <w:spacing w:after="120" w:before="0"/>
      </w:pPr>
      <w:r>
        <w:rPr>
          <w:b w:val="false"/>
          <w:bCs w:val="false"/>
        </w:rPr>
        <w:t xml:space="preserve">Der Nutzen (brutto, vor Handlungsfeldkosten) ist damit: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Nutzen</w:t>
            </w:r>
            <w:r>
              <w:t xml:space="preserve">  =  ΔU × DB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Schritt 3 — Mehrwert.</w:t>
      </w:r>
      <w:r>
        <w:t xml:space="preserve"> Der Mehrwert ergibt sich durch Abzug der dem Handlungsfeld zuzuordnenden Kosten C</w:t>
      </w:r>
      <w:r>
        <w:rPr>
          <w:vertAlign w:val="subscript"/>
        </w:rPr>
        <w:t xml:space="preserve">HF</w:t>
      </w:r>
      <w:r>
        <w:t xml:space="preserve"> (Entwicklung, Betrieb und Pflege der kausalen Modellstrecke):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Mehrwert</w:t>
            </w:r>
            <w:r>
              <w:t xml:space="preserve">  =  Nutzen − C</w:t>
            </w:r>
            <w:r>
              <w:rPr>
                <w:vertAlign w:val="subscript"/>
              </w:rPr>
              <w:t xml:space="preserve">HF</w:t>
            </w:r>
            <w:r>
              <w:t xml:space="preserve">  =  ΔU × DB − C</w:t>
            </w:r>
            <w:r>
              <w:rPr>
                <w:vertAlign w:val="subscript"/>
              </w:rPr>
              <w:t xml:space="preserve">HF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EEBFF" w:sz="2"/>
              <w:left w:val="single" w:color="0052CC" w:sz="24"/>
              <w:bottom w:val="single" w:color="DEEBFF" w:sz="2"/>
              <w:right w:val="single" w:color="DEEBFF" w:sz="2"/>
            </w:tcBorders>
            <w:shd w:fill="DEE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Parameter statt Fixwerte</w:t>
            </w:r>
          </w:p>
          <w:p>
            <w:pPr>
              <w:spacing w:after="0"/>
            </w:pPr>
            <w:r>
              <w:t xml:space="preserve">DB und C</w:t>
            </w:r>
            <w:r>
              <w:rPr>
                <w:vertAlign w:val="subscript"/>
              </w:rPr>
              <w:t xml:space="preserve">HF</w:t>
            </w:r>
            <w:r>
              <w:t xml:space="preserve"> ändern sich regelmäßig und werden daher im Konzept </w:t>
            </w:r>
            <w:r>
              <w:rPr>
                <w:b/>
                <w:bCs/>
              </w:rPr>
              <w:t xml:space="preserve">nicht fixiert</w:t>
            </w:r>
            <w:r>
              <w:t xml:space="preserve">, sondern je Einzelmessung mit den zum Messzeitpunkt gültigen Werten eingesetzt (siehe Abschnitt 3).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(i)  Konsistenz der Messung</w:t>
      </w:r>
    </w:p>
    <w:p>
      <w:pPr>
        <w:spacing w:after="120" w:before="0"/>
      </w:pPr>
      <w:r>
        <w:t xml:space="preserve">Bei gegebenem Modell </w:t>
      </w:r>
      <w:r>
        <w:t xml:space="preserve">τ̂</w:t>
      </w:r>
      <w:r>
        <w:t xml:space="preserve">, festem Kundenbestand-Snapshot und festem K ist ΔU </w:t>
      </w:r>
      <w:r>
        <w:rPr>
          <w:b/>
          <w:bCs/>
        </w:rPr>
        <w:t xml:space="preserve">deterministisch und exakt reproduzierbar</w:t>
      </w:r>
      <w:r>
        <w:t xml:space="preserve"> — Mehrfachmessungen desselben Stands liefern identische Werte. Unterschiede </w:t>
      </w:r>
      <w:r>
        <w:rPr>
          <w:i/>
          <w:iCs/>
        </w:rPr>
        <w:t xml:space="preserve">zwischen</w:t>
      </w:r>
      <w:r>
        <w:t xml:space="preserve"> Messungen (verschiedene Kampagnen/Zeitpunkte) sind auf Modell-Retrainings und Bestandsänderungen zurückzuführen, nicht auf Messrauschen; sie werden durch die kampagnenweise Einzelausweisung (Abschnitt 1.4) sauber getrennt.</w:t>
      </w:r>
    </w:p>
    <w:p>
      <w:pPr>
        <w:spacing w:after="80" w:before="160"/>
      </w:pPr>
      <w:r>
        <w:rPr>
          <w:b/>
          <w:bCs/>
        </w:rPr>
        <w:t xml:space="preserve">(j)  Erster Messtermin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Erstmessung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Oktober 2024, Produkt Privathaftpflicht (PHV).</w:t>
            </w:r>
          </w:p>
        </w:tc>
      </w:tr>
      <w:tr>
        <w:tc>
          <w:tcPr>
            <w:tcW w:type="dxa" w:w="30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Weitere Instanziierungen</w:t>
            </w:r>
          </w:p>
        </w:tc>
        <w:tc>
          <w:tcPr>
            <w:tcW w:type="dxa" w:w="594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Werden je Kampagne/Produkt in Abschnitt 3 dokumentiert.</w:t>
            </w:r>
          </w:p>
        </w:tc>
      </w:tr>
    </w:tbl>
    <w:p>
      <w:pPr>
        <w:pStyle w:val="Heading2"/>
        <w:spacing w:after="120" w:before="240"/>
      </w:pPr>
      <w:r>
        <w:t xml:space="preserve">1.3  Experimentaufbau für die Datensammlung</w:t>
      </w:r>
    </w:p>
    <w:p>
      <w:pPr>
        <w:spacing w:after="120" w:before="0"/>
      </w:pPr>
      <w:r>
        <w:t xml:space="preserve">Es sind zwei Ebenen zu unterscheiden:</w:t>
      </w:r>
    </w:p>
    <w:p>
      <w:pPr>
        <w:pStyle w:val="Heading3"/>
        <w:spacing w:after="120" w:before="240"/>
      </w:pPr>
      <w:r>
        <w:t xml:space="preserve">1.3.1  Ebene 1 — Modellerstellung (randomisierte Experimente)</w:t>
      </w:r>
    </w:p>
    <w:p>
      <w:pPr>
        <w:spacing w:after="120" w:before="0"/>
      </w:pPr>
      <w:r>
        <w:t xml:space="preserve">Die kausalen Modelle wurden auf Basis </w:t>
      </w:r>
      <w:r>
        <w:rPr>
          <w:b/>
          <w:bCs/>
        </w:rPr>
        <w:t xml:space="preserve">randomisierter Experimente</w:t>
      </w:r>
      <w:r>
        <w:t xml:space="preserve"> (Treatment-/Kontroll-Split) erstellt, um den Uplift bestmöglich vorherzusagen. Eine gute </w:t>
      </w:r>
      <w:r>
        <w:rPr>
          <w:b/>
          <w:bCs/>
        </w:rPr>
        <w:t xml:space="preserve">Kalibrierung</w:t>
      </w:r>
      <w:r>
        <w:t xml:space="preserve"> ist hier entscheidend, da die spätere Nutzenmessung auf der Verlässlichkeit des CATE-Rankings beruht. Die Validierung erfolgt über DRTester, Qini-Kurven und Calibration-Plots im Rahmen der Modellentwicklung.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B111E" w:sz="8"/>
              <w:left w:val="dashed" w:color="9B111E" w:sz="8"/>
              <w:bottom w:val="dashed" w:color="9B111E" w:sz="8"/>
              <w:right w:val="dashed" w:color="9B111E" w:sz="8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B111E"/>
              </w:rPr>
              <w:t xml:space="preserve">✎ Auszufüllen — Details der Experimentdaten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Zugrunde liegende(s) randomisierte(s) Experiment(e): Aktion / Zeitraum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Randomisierungsverfahren und Treatment-/Kontroll-Samplegrößen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Produktabdeckung … [hier eintragen]</w:t>
            </w:r>
          </w:p>
        </w:tc>
      </w:tr>
    </w:tbl>
    <w:p>
      <w:pPr>
        <w:pStyle w:val="Heading3"/>
        <w:spacing w:after="120" w:before="240"/>
      </w:pPr>
      <w:r>
        <w:t xml:space="preserve">1.3.2  Ebene 2 — Nutzenmessung (Simulation)</w:t>
      </w:r>
    </w:p>
    <w:p>
      <w:pPr>
        <w:spacing w:after="120" w:before="0"/>
      </w:pPr>
      <w:r>
        <w:t xml:space="preserve">Die Nutzen- bzw. Mehrwerte je Kampagne werden anschließend </w:t>
      </w:r>
      <w:r>
        <w:rPr>
          <w:b/>
          <w:bCs/>
        </w:rPr>
        <w:t xml:space="preserve">rein durch Simulation</w:t>
      </w:r>
      <w:r>
        <w:t xml:space="preserve"> bestimmt: Vergleich der Auswahl nach Kausal-Score gegen die frühere Auswahl nach Affinitäts-Score, bewertet mit demselben Modell (Abschnitt 1.2.4 c). Ein laufender randomisierter Holdout pro Kampagne ist nicht erforderlich.</w:t>
      </w:r>
    </w:p>
    <w:p>
      <w:pPr>
        <w:pStyle w:val="Heading3"/>
        <w:spacing w:after="120" w:before="240"/>
      </w:pPr>
      <w:r>
        <w:t xml:space="preserve">1.3.3  Aktuelle vs. historische Daten</w:t>
      </w:r>
    </w:p>
    <w:p>
      <w:pPr>
        <w:spacing w:after="120" w:before="0"/>
      </w:pPr>
      <w:r>
        <w:t xml:space="preserve">Das Modell </w:t>
      </w:r>
      <w:r>
        <w:t xml:space="preserve">τ̂</w:t>
      </w:r>
      <w:r>
        <w:t xml:space="preserve"> stützt sich auf </w:t>
      </w:r>
      <w:r>
        <w:rPr>
          <w:i/>
          <w:iCs/>
        </w:rPr>
        <w:t xml:space="preserve">historische</w:t>
      </w:r>
      <w:r>
        <w:t xml:space="preserve"> randomisierte Experimentdaten. Die Nutzenmessung selbst nutzt den </w:t>
      </w:r>
      <w:r>
        <w:rPr>
          <w:i/>
          <w:iCs/>
        </w:rPr>
        <w:t xml:space="preserve">aktuellen</w:t>
      </w:r>
      <w:r>
        <w:t xml:space="preserve"> Kundenbestand-Snapshot der jeweiligen Kampagne. Ein Re-Training des Modells auf neueren Experimentdaten erfolgt anlassbezogen; der jeweils verwendete Modellstand wird in der Einzelmessung dokumentiert.</w:t>
      </w:r>
    </w:p>
    <w:p>
      <w:pPr>
        <w:pStyle w:val="Heading2"/>
        <w:spacing w:after="120" w:before="240"/>
      </w:pPr>
      <w:r>
        <w:t xml:space="preserve">1.4  Datenauswertung und Entscheidungen</w:t>
      </w:r>
    </w:p>
    <w:p>
      <w:pPr>
        <w:spacing w:after="120" w:before="0"/>
      </w:pPr>
      <w:r>
        <w:t xml:space="preserve">Je Kampagne wird der endgültige Messwert wie folgt bestimmt: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Scoring: </w:t>
      </w:r>
      <w:r>
        <w:t xml:space="preserve">Anwendung des kausalen Modells auf den Kundenbestand → </w:t>
      </w:r>
      <w:r>
        <w:t xml:space="preserve">τ̂(x</w:t>
      </w:r>
      <w:r>
        <w:rPr>
          <w:vertAlign w:val="subscript"/>
        </w:rPr>
        <w:t xml:space="preserve">i</w:t>
      </w:r>
      <w:r>
        <w:t xml:space="preserve">) je Kunde.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Selektionen bilden: </w:t>
      </w:r>
      <w:r>
        <w:t xml:space="preserve">S</w:t>
      </w:r>
      <w:r>
        <w:rPr>
          <w:vertAlign w:val="subscript"/>
        </w:rPr>
        <w:t xml:space="preserve">kausal</w:t>
      </w:r>
      <w:r>
        <w:t xml:space="preserve"> (Top-K nach </w:t>
      </w:r>
      <w:r>
        <w:t xml:space="preserve">τ̂</w:t>
      </w:r>
      <w:r>
        <w:t xml:space="preserve">) und S</w:t>
      </w:r>
      <w:r>
        <w:rPr>
          <w:vertAlign w:val="subscript"/>
        </w:rPr>
        <w:t xml:space="preserve">affinität</w:t>
      </w:r>
      <w:r>
        <w:t xml:space="preserve"> (Top-K nach â) — Letztere per Sortierung, ohne eigenen Modell-Lauf.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 summieren: </w:t>
      </w:r>
      <w:r>
        <w:t xml:space="preserve">Σ τ̂ über beide Mengen.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Nutzenhebel: </w:t>
      </w:r>
      <w:r>
        <w:t xml:space="preserve">ΔU als Differenz.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Monetarisierung: </w:t>
      </w:r>
      <w:r>
        <w:t xml:space="preserve">Nutzen = ΔU × DB und Mehrwert = Nutzen − C</w:t>
      </w:r>
      <w:r>
        <w:rPr>
          <w:vertAlign w:val="subscript"/>
        </w:rPr>
        <w:t xml:space="preserve">HF</w:t>
      </w:r>
      <w:r>
        <w:t xml:space="preserve">, mit den zum Messzeitpunkt gültigen Parametern.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FFAE6" w:sz="2"/>
              <w:left w:val="single" w:color="FF991F" w:sz="24"/>
              <w:bottom w:val="single" w:color="FFFAE6" w:sz="2"/>
              <w:right w:val="single" w:color="FFFAE6" w:sz="2"/>
            </w:tcBorders>
            <w:shd w:fill="FFFA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Entscheidungsregel</w:t>
            </w:r>
          </w:p>
          <w:p>
            <w:pPr>
              <w:spacing w:after="0"/>
            </w:pPr>
            <w:r>
              <w:t xml:space="preserve">Der Mehrwert wird </w:t>
            </w:r>
            <w:r>
              <w:rPr>
                <w:b/>
                <w:bCs/>
              </w:rPr>
              <w:t xml:space="preserve">je Kampagne einzeln</w:t>
            </w:r>
            <w:r>
              <w:t xml:space="preserve"> ausgewiesen. Es findet </w:t>
            </w:r>
            <w:r>
              <w:rPr>
                <w:i/>
                <w:iCs/>
              </w:rPr>
              <w:t xml:space="preserve">keine</w:t>
            </w:r>
            <w:r>
              <w:t xml:space="preserve"> Mittelung über Kampagnen statt; jede Instanziierung steht für sich.</w:t>
            </w:r>
          </w:p>
        </w:tc>
      </w:tr>
    </w:tbl>
    <w:p>
      <w:pPr>
        <w:pStyle w:val="Heading3"/>
        <w:spacing w:after="120" w:before="240"/>
      </w:pPr>
      <w:r>
        <w:t xml:space="preserve">Rechenbeispiel (illustrativ)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</w:t>
            </w:r>
            <w:r>
              <w:rPr>
                <w:vertAlign w:val="subscript"/>
              </w:rPr>
              <w:t xml:space="preserve">kausal</w:t>
            </w:r>
            <w:r>
              <w:t xml:space="preserve"> (Top 100k CATE)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</w:t>
            </w:r>
            <w:r>
              <w:rPr>
                <w:vertAlign w:val="subscript"/>
              </w:rPr>
              <w:t xml:space="preserve">affinität</w:t>
            </w:r>
            <w:r>
              <w:t xml:space="preserve"> (Top 100k Affinität)</w:t>
            </w:r>
          </w:p>
        </w:tc>
      </w:tr>
      <w:tr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Σ τ̂(x</w:t>
            </w:r>
            <w:r>
              <w:rPr>
                <w:vertAlign w:val="subscript"/>
              </w:rPr>
              <w:t xml:space="preserve">i</w:t>
            </w:r>
            <w:r>
              <w:t xml:space="preserve">)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t xml:space="preserve">4.820 Zusatzabschlüsse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t xml:space="preserve">2.130 Zusatzabschlüsse</w:t>
            </w:r>
          </w:p>
        </w:tc>
      </w:tr>
      <w:tr>
        <w:tc>
          <w:tcPr>
            <w:tcW w:type="dxa" w:w="18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ΔU</w:t>
            </w:r>
          </w:p>
        </w:tc>
        <w:tc>
          <w:tcPr>
            <w:tcW w:type="dxa" w:w="7200"/>
            <w:gridSpan w:val="2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B111E"/>
              </w:rPr>
              <w:t xml:space="preserve">4.820 − 2.130 = 2.690 zusätzliche Abschlüsse</w:t>
            </w:r>
          </w:p>
        </w:tc>
      </w:tr>
    </w:tbl>
    <w:p>
      <w:pPr>
        <w:spacing w:after="120" w:before="0"/>
      </w:pPr>
      <w:r>
        <w:t xml:space="preserve">Bei einem angenommenen Deckungsbeitrag DB ergäbe sich ein Nutzen von 2.690 × DB und nach Abzug von C</w:t>
      </w:r>
      <w:r>
        <w:rPr>
          <w:vertAlign w:val="subscript"/>
        </w:rPr>
        <w:t xml:space="preserve">HF</w:t>
      </w:r>
      <w:r>
        <w:t xml:space="preserve"> der Mehrwert. (Die konkreten €-Werte werden erst in der Einzelmessung eingesetzt.)</w:t>
      </w:r>
    </w:p>
    <w:p>
      <w:pPr>
        <w:pStyle w:val="Heading2"/>
        <w:spacing w:after="120" w:before="240"/>
      </w:pPr>
      <w:r>
        <w:t xml:space="preserve">1.5  Methodische Validität</w:t>
      </w:r>
    </w:p>
    <w:p>
      <w:pPr>
        <w:pStyle w:val="Heading3"/>
        <w:spacing w:after="120" w:before="240"/>
      </w:pPr>
      <w:r>
        <w:t xml:space="preserve">1.5.1  Optimalität der CATE-Selektion bei fester Kampagnengröße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B111E" w:sz="12"/>
              <w:left w:val="single" w:color="9B111E" w:sz="12"/>
              <w:bottom w:val="single" w:color="9B111E" w:sz="12"/>
              <w:right w:val="single" w:color="9B111E" w:sz="12"/>
            </w:tcBorders>
            <w:shd w:fill="FF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B111E"/>
              </w:rPr>
              <w:t xml:space="preserve">Theorem (Optimalität)</w:t>
            </w:r>
          </w:p>
          <w:p>
            <w:pPr>
              <w:spacing w:after="80" w:before="0"/>
            </w:pPr>
            <w:r>
              <w:t xml:space="preserve">Sei τ(x</w:t>
            </w:r>
            <w:r>
              <w:rPr>
                <w:vertAlign w:val="subscript"/>
              </w:rPr>
              <w:t xml:space="preserve">i</w:t>
            </w:r>
            <w:r>
              <w:t xml:space="preserve">) der wahre CATE für Kunde i und K &lt; N die feste Kampagnengröße. Die Menge S* = argmax</w:t>
            </w:r>
            <w:r>
              <w:rPr>
                <w:vertAlign w:val="subscript"/>
              </w:rPr>
              <w:t xml:space="preserve">|S|=K</w:t>
            </w:r>
            <w:r>
              <w:t xml:space="preserve"> Σ</w:t>
            </w:r>
            <w:r>
              <w:rPr>
                <w:vertAlign w:val="subscript"/>
              </w:rPr>
              <w:t xml:space="preserve">i∈S</w:t>
            </w:r>
            <w:r>
              <w:t xml:space="preserve"> τ(x</w:t>
            </w:r>
            <w:r>
              <w:rPr>
                <w:vertAlign w:val="subscript"/>
              </w:rPr>
              <w:t xml:space="preserve">i</w:t>
            </w:r>
            <w:r>
              <w:t xml:space="preserve">) wird genau durch die Top-K Kunden nach absteigendem τ(x</w:t>
            </w:r>
            <w:r>
              <w:rPr>
                <w:vertAlign w:val="subscript"/>
              </w:rPr>
              <w:t xml:space="preserve">i</w:t>
            </w:r>
            <w:r>
              <w:t xml:space="preserve">) gebildet.</w:t>
            </w:r>
          </w:p>
          <w:p>
            <w:pPr>
              <w:spacing w:after="40" w:before="0"/>
            </w:pPr>
            <w:r>
              <w:rPr>
                <w:b/>
                <w:bCs/>
              </w:rPr>
              <w:t xml:space="preserve">Beweis: </w:t>
            </w:r>
            <w:r>
              <w:t xml:space="preserve">Die Zielfunktion ist separabel über die Kunden, die einzige Nebenbedingung ist |S| = K. Das Maximum wird erreicht, indem die K größten Summanden gewählt werden. Formal: Seien τ(x</w:t>
            </w:r>
            <w:r>
              <w:rPr>
                <w:vertAlign w:val="subscript"/>
              </w:rPr>
              <w:t xml:space="preserve">(1)</w:t>
            </w:r>
            <w:r>
              <w:t xml:space="preserve">) ≥ … ≥ τ(x</w:t>
            </w:r>
            <w:r>
              <w:rPr>
                <w:vertAlign w:val="subscript"/>
              </w:rPr>
              <w:t xml:space="preserve">(N)</w:t>
            </w:r>
            <w:r>
              <w:t xml:space="preserve">) geordnet; für jede zulässige Menge S gilt</w:t>
            </w:r>
          </w:p>
          <w:p>
            <w:pPr>
              <w:spacing w:after="40"/>
              <w:jc w:val="center"/>
            </w:pPr>
            <w:r>
              <w:t xml:space="preserve">Σ</w:t>
            </w:r>
            <w:r>
              <w:rPr>
                <w:vertAlign w:val="subscript"/>
              </w:rPr>
              <w:t xml:space="preserve">i∈S</w:t>
            </w:r>
            <w:r>
              <w:t xml:space="preserve"> τ(x</w:t>
            </w:r>
            <w:r>
              <w:rPr>
                <w:vertAlign w:val="subscript"/>
              </w:rPr>
              <w:t xml:space="preserve">i</w:t>
            </w:r>
            <w:r>
              <w:t xml:space="preserve">) ≤ Σ</w:t>
            </w:r>
            <w:r>
              <w:rPr>
                <w:vertAlign w:val="subscript"/>
              </w:rPr>
              <w:t xml:space="preserve">j=1</w:t>
            </w:r>
            <w:r>
              <w:rPr>
                <w:vertAlign w:val="superscript"/>
              </w:rPr>
              <w:t xml:space="preserve">K</w:t>
            </w:r>
            <w:r>
              <w:t xml:space="preserve"> τ(x</w:t>
            </w:r>
            <w:r>
              <w:rPr>
                <w:vertAlign w:val="subscript"/>
              </w:rPr>
              <w:t xml:space="preserve">(j)</w:t>
            </w:r>
            <w:r>
              <w:t xml:space="preserve">) = Σ</w:t>
            </w:r>
            <w:r>
              <w:rPr>
                <w:vertAlign w:val="subscript"/>
              </w:rPr>
              <w:t xml:space="preserve">i∈S*</w:t>
            </w:r>
            <w:r>
              <w:t xml:space="preserve"> τ(x</w:t>
            </w:r>
            <w:r>
              <w:rPr>
                <w:vertAlign w:val="subscript"/>
              </w:rPr>
              <w:t xml:space="preserve">i</w:t>
            </w:r>
            <w:r>
              <w:t xml:space="preserve">)</w:t>
            </w:r>
          </w:p>
          <w:p>
            <w:pPr>
              <w:spacing w:after="0" w:before="0"/>
            </w:pPr>
            <w:r>
              <w:t xml:space="preserve">Ersetzt man in S ein i ∉ S* durch ein j ∈ S* \ S, so gilt τ(x</w:t>
            </w:r>
            <w:r>
              <w:rPr>
                <w:vertAlign w:val="subscript"/>
              </w:rPr>
              <w:t xml:space="preserve">j</w:t>
            </w:r>
            <w:r>
              <w:t xml:space="preserve">) ≥ τ(x</w:t>
            </w:r>
            <w:r>
              <w:rPr>
                <w:vertAlign w:val="subscript"/>
              </w:rPr>
              <w:t xml:space="preserve">i</w:t>
            </w:r>
            <w:r>
              <w:t xml:space="preserve">); iteratives Austauschen überführt jede Menge S in S* (Rearrangement-Lemma).  ◼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FFAE6" w:sz="2"/>
              <w:left w:val="single" w:color="FF991F" w:sz="24"/>
              <w:bottom w:val="single" w:color="FFFAE6" w:sz="2"/>
              <w:right w:val="single" w:color="FFFAE6" w:sz="2"/>
            </w:tcBorders>
            <w:shd w:fill="FFFA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Voraussetzung: Modellkalibrierung</w:t>
            </w:r>
          </w:p>
          <w:p>
            <w:pPr>
              <w:spacing w:after="0"/>
            </w:pPr>
            <w:r>
              <w:t xml:space="preserve">Die Optimalität setzt voraus, dass das Ranking der geschätzten </w:t>
            </w:r>
            <w:r>
              <w:t xml:space="preserve">τ̂(x)</w:t>
            </w:r>
            <w:r>
              <w:t xml:space="preserve"> dem Ranking der wahren CATEs entspricht. Sichergestellt wird dies über DRTester und Calibration-Plots bei der Modellerstellung (Abschnitt 1.3.1).</w:t>
            </w:r>
          </w:p>
        </w:tc>
      </w:tr>
    </w:tbl>
    <w:p>
      <w:pPr>
        <w:pStyle w:val="Heading3"/>
        <w:spacing w:after="120" w:before="240"/>
      </w:pPr>
      <w:r>
        <w:t xml:space="preserve">1.5.2  Nicht-Negativität des Nutzenhebels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B111E" w:sz="12"/>
              <w:left w:val="single" w:color="9B111E" w:sz="12"/>
              <w:bottom w:val="single" w:color="9B111E" w:sz="12"/>
              <w:right w:val="single" w:color="9B111E" w:sz="12"/>
            </w:tcBorders>
            <w:shd w:fill="FF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B111E"/>
              </w:rPr>
              <w:t xml:space="preserve">Korollar</w:t>
            </w:r>
          </w:p>
          <w:p>
            <w:pPr>
              <w:spacing w:after="0" w:before="0"/>
            </w:pPr>
            <w:r>
              <w:t xml:space="preserve">Es gilt stets ΔU ≥ 0. S</w:t>
            </w:r>
            <w:r>
              <w:rPr>
                <w:vertAlign w:val="subscript"/>
              </w:rPr>
              <w:t xml:space="preserve">kausal</w:t>
            </w:r>
            <w:r>
              <w:t xml:space="preserve"> maximiert Σ τ̂(x</w:t>
            </w:r>
            <w:r>
              <w:rPr>
                <w:vertAlign w:val="subscript"/>
              </w:rPr>
              <w:t xml:space="preserve">i</w:t>
            </w:r>
            <w:r>
              <w:t xml:space="preserve">) über alle Mengen der Größe K; S</w:t>
            </w:r>
            <w:r>
              <w:rPr>
                <w:vertAlign w:val="subscript"/>
              </w:rPr>
              <w:t xml:space="preserve">affinität</w:t>
            </w:r>
            <w:r>
              <w:t xml:space="preserve"> ist lediglich eine zulässige solche Menge. Daher Σ</w:t>
            </w:r>
            <w:r>
              <w:rPr>
                <w:vertAlign w:val="subscript"/>
              </w:rPr>
              <w:t xml:space="preserve">S_kausal</w:t>
            </w:r>
            <w:r>
              <w:t xml:space="preserve"> τ̂ ≥ Σ</w:t>
            </w:r>
            <w:r>
              <w:rPr>
                <w:vertAlign w:val="subscript"/>
              </w:rPr>
              <w:t xml:space="preserve">S_affinität</w:t>
            </w:r>
            <w:r>
              <w:t xml:space="preserve"> τ̂, also ΔU ≥ 0. Im Grenzfall identischer Selektionen ist ΔU = 0.  ◼</w:t>
            </w:r>
          </w:p>
        </w:tc>
      </w:tr>
    </w:tbl>
    <w:p>
      <w:pPr>
        <w:pStyle w:val="Heading3"/>
        <w:spacing w:after="120" w:before="240"/>
      </w:pPr>
      <w:r>
        <w:t xml:space="preserve">1.5.3  Quellen der Validität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Aspekt</w:t>
            </w:r>
          </w:p>
        </w:tc>
        <w:tc>
          <w:tcPr>
            <w:tcW w:type="dxa" w:w="63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Begründung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Einheitlicher Maßstab</w:t>
            </w:r>
          </w:p>
        </w:tc>
        <w:tc>
          <w:tcPr>
            <w:tcW w:type="dxa" w:w="63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Beide Mengen werden mit </w:t>
            </w:r>
            <w:r>
              <w:rPr>
                <w:i/>
                <w:iCs/>
              </w:rPr>
              <w:t xml:space="preserve">demselben</w:t>
            </w:r>
            <w:r>
              <w:t xml:space="preserve"> Modell </w:t>
            </w:r>
            <w:r>
              <w:t xml:space="preserve">τ̂</w:t>
            </w:r>
            <w:r>
              <w:t xml:space="preserve"> bewertet; der Unterschied liegt ausschließlich in der Selektion.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Kausaltheoretische Fundierung</w:t>
            </w:r>
          </w:p>
        </w:tc>
        <w:tc>
          <w:tcPr>
            <w:tcW w:type="dxa" w:w="63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Der CATE basiert auf dem Potential-Outcomes-Framework (Imbens &amp; Rubin, 2015).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Optimalitätsbeweis</w:t>
            </w:r>
          </w:p>
        </w:tc>
        <w:tc>
          <w:tcPr>
            <w:tcW w:type="dxa" w:w="63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Top-K-nach-CATE maximiert den Gesamtuplift bei fester Menge (Rearrangement-Lemma).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Modellvalidierung</w:t>
            </w:r>
          </w:p>
        </w:tc>
        <w:tc>
          <w:tcPr>
            <w:tcW w:type="dxa" w:w="63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DRTester, Qini-Kurven und Calibration-Plots sichern ein valides Ranking.</w:t>
            </w:r>
          </w:p>
        </w:tc>
      </w:tr>
      <w:tr>
        <w:tc>
          <w:tcPr>
            <w:tcW w:type="dxa" w:w="27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Ex-ante-Vergleich</w:t>
            </w:r>
          </w:p>
        </w:tc>
        <w:tc>
          <w:tcPr>
            <w:tcW w:type="dxa" w:w="63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Verglichen wird, was passieren </w:t>
            </w:r>
            <w:r>
              <w:rPr>
                <w:i/>
                <w:iCs/>
              </w:rPr>
              <w:t xml:space="preserve">würde</w:t>
            </w:r>
            <w:r>
              <w:t xml:space="preserve"> — frei von Post-hoc-Verzerrungen.</w:t>
            </w:r>
          </w:p>
        </w:tc>
      </w:tr>
    </w:tbl>
    <w:p>
      <w:pPr>
        <w:pStyle w:val="Heading1"/>
        <w:spacing w:after="120" w:before="240"/>
      </w:pPr>
      <w:r>
        <w:t xml:space="preserve">2  Verweis auf die Referenzimplementierung</w:t>
      </w:r>
    </w:p>
    <w:p>
      <w:pPr>
        <w:spacing w:after="120" w:before="0"/>
      </w:pPr>
      <w:r>
        <w:t xml:space="preserve">Das Messkonzept ist als versionierter, abnehmbarer Code umgesetzt, sodass ein nicht am Handlungsfeld beteiligter Mitarbeiter in DA01 Konzept und Implementierung abgleichen kann. Regelmäßige Anpassungen (Daten, Modelle, Samples) sind erwartbar; maßgeblich ist die versionierte, abnehmbare Referenz.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B111E" w:sz="8"/>
              <w:left w:val="dashed" w:color="9B111E" w:sz="8"/>
              <w:bottom w:val="dashed" w:color="9B111E" w:sz="8"/>
              <w:right w:val="dashed" w:color="9B111E" w:sz="8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B111E"/>
              </w:rPr>
              <w:t xml:space="preserve">✎ Auszufüllen — Referenzimplementierung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Repository (GitLab / TFS): [Pfad/URL eintragen]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Modul / Einstiegspunkt: [z. B. Skript-/Pfadangabe]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Version / Tag / Commit: [Version eintragen]</w:t>
            </w:r>
          </w:p>
          <w:p>
            <w:pPr>
              <w:spacing w:after="40"/>
            </w:pPr>
            <w:r>
              <w:rPr>
                <w:i/>
                <w:iCs/>
                <w:color w:val="6B778C"/>
              </w:rPr>
              <w:t xml:space="preserve">Abnahmestand / Freigabe: [Datum, Verantwortliche(r)]</w:t>
            </w:r>
          </w:p>
        </w:tc>
      </w:tr>
    </w:tbl>
    <w:p>
      <w:pPr>
        <w:pStyle w:val="Heading1"/>
        <w:spacing w:after="120" w:before="240"/>
      </w:pPr>
      <w:r>
        <w:t xml:space="preserve">3  Durchführung der Einzelmessungen</w:t>
      </w:r>
    </w:p>
    <w:p>
      <w:pPr>
        <w:spacing w:after="120" w:before="0"/>
      </w:pPr>
      <w:r>
        <w:t xml:space="preserve">Jede Messung wird als eigene Instanziierung auf einer Einzelseite (alternativ in Excel, falls für die Zusammenarbeit mit anderen Gruppen praktischer) dokumentiert. Sie umfasst alle Messgrößen, die verwendeten Parameter sowie Auffälligkeiten/Sonderfälle. Vorlage: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5580"/>
      </w:tblGrid>
      <w:tr>
        <w:trPr>
          <w:tblHeader/>
        </w:trP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Wert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Kampagne / Aktion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[Bezeichnung]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[z. B. PHV / VRS]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Kanal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[Brief / E-Mail]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Messdatum / Messzeitpunkt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[Datum]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Modellstand (Version)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[Modell-/Referenzversion]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Kampagnengröße K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[Anzahl Maßnahmen]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Σ τ̂ über S</w:t>
            </w:r>
            <w:r>
              <w:rPr>
                <w:vertAlign w:val="subscript"/>
              </w:rPr>
              <w:t xml:space="preserve">kausal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[Wert]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Σ τ̂ über S</w:t>
            </w:r>
            <w:r>
              <w:rPr>
                <w:vertAlign w:val="subscript"/>
              </w:rPr>
              <w:t xml:space="preserve">affinität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[Wert]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ΔU (Zusatzabschlüsse)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[Wert]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Ø Deckungsbeitrag je Abschluss (DB)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[€ zum Messzeitpunkt]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Nutzen (€) = ΔU × DB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[Wert]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Handlungsfeldkosten C</w:t>
            </w:r>
            <w:r>
              <w:rPr>
                <w:vertAlign w:val="subscript"/>
              </w:rPr>
              <w:t xml:space="preserve">HF</w:t>
            </w:r>
            <w:r>
              <w:t xml:space="preserve"> (€)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[Wert]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Mehrwert (€) = Nutzen − C_HF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[Wert]</w:t>
            </w:r>
          </w:p>
        </w:tc>
      </w:tr>
      <w:tr>
        <w:tc>
          <w:tcPr>
            <w:tcW w:type="dxa" w:w="342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Auffälligkeiten / Sonderfälle</w:t>
            </w:r>
          </w:p>
        </w:tc>
        <w:tc>
          <w:tcPr>
            <w:tcW w:type="dxa" w:w="55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color w:val="6B778C"/>
              </w:rPr>
              <w:t xml:space="preserve">[Anmerkungen]</w:t>
            </w:r>
          </w:p>
        </w:tc>
      </w:tr>
    </w:tbl>
    <w:p>
      <w:pPr>
        <w:pStyle w:val="Heading1"/>
        <w:spacing w:after="120" w:before="240"/>
      </w:pPr>
      <w:r>
        <w:t xml:space="preserve">Anhang: Literatur &amp; Referenzen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Quelle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Relevanz</w:t>
            </w:r>
          </w:p>
        </w:tc>
      </w:tr>
      <w:tr>
        <w:tc>
          <w:tcPr>
            <w:tcW w:type="dxa" w:w="5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Imbens, G. W. &amp; Rubin, D. B. (2015). Causal Inference for Statistics, Social, and Biomedical Sciences. Cambridge University Press.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Potential-Outcomes-Framework und CATE-Definition.</w:t>
            </w:r>
          </w:p>
        </w:tc>
      </w:tr>
      <w:tr>
        <w:tc>
          <w:tcPr>
            <w:tcW w:type="dxa" w:w="5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Chernozhukov, V. et al. (2018). „Double/Debiased Machine Learning …" The Econometrics Journal.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Fundierung des DML-Schätzers.</w:t>
            </w:r>
          </w:p>
        </w:tc>
      </w:tr>
      <w:tr>
        <w:tc>
          <w:tcPr>
            <w:tcW w:type="dxa" w:w="5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Athey, S. &amp; Imbens, G. (2016). „Recursive Partitioning for Heterogeneous Causal Effects." PNAS.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Causal Forest als CATE-Schätzer.</w:t>
            </w:r>
          </w:p>
        </w:tc>
      </w:tr>
      <w:tr>
        <w:tc>
          <w:tcPr>
            <w:tcW w:type="dxa" w:w="54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Radcliffe, N. J. &amp; Surry, P. D. (2011). „Real-World Uplift Modelling …"</w:t>
            </w:r>
          </w:p>
        </w:tc>
        <w:tc>
          <w:tcPr>
            <w:tcW w:type="dxa" w:w="360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Uplift-Praxis; Kundentypen-Quadrant.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fe6f0722151673ae602e1a72a2db03634588e8.png"/><Relationship Id="rId8" Type="http://schemas.openxmlformats.org/officeDocument/2006/relationships/image" Target="media/cda08ef7ddb882dcac3c51b337954a01e14616c2.png"/><Relationship Id="rId9" Type="http://schemas.openxmlformats.org/officeDocument/2006/relationships/image" Target="media/b487f91c953280882ba3b6f9dcb35a4fc6fa1c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Nutzenmesskonzept: Kausale Kundenselektion in der Direktwerbung</dc:title>
  <dc:creator>DA</dc:creator>
  <cp:lastModifiedBy>Un-named</cp:lastModifiedBy>
  <cp:revision>1</cp:revision>
  <dcterms:created xsi:type="dcterms:W3CDTF">2026-07-16T06:59:22.115Z</dcterms:created>
  <dcterms:modified xsi:type="dcterms:W3CDTF">2026-07-16T06:59:22.115Z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