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5C0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CPDE Web — Security, Tenancy and Access Plan</w:t>
      </w:r>
    </w:p>
    <w:p w14:paraId="5563B7E1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Approved direction · August 2026</w:t>
      </w:r>
    </w:p>
    <w:p w14:paraId="6D9215F1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Decisions </w:t>
      </w:r>
      <w:proofErr w:type="gramStart"/>
      <w:r w:rsidRPr="006D649E">
        <w:rPr>
          <w:b/>
          <w:bCs/>
        </w:rPr>
        <w:t>made:</w:t>
      </w:r>
      <w:proofErr w:type="gramEnd"/>
      <w:r w:rsidRPr="006D649E">
        <w:rPr>
          <w:b/>
          <w:bCs/>
        </w:rPr>
        <w:t xml:space="preserve"> multi-tenant shared database with row-level security · commercial AWS (not </w:t>
      </w:r>
      <w:proofErr w:type="gramStart"/>
      <w:r w:rsidRPr="006D649E">
        <w:rPr>
          <w:b/>
          <w:bCs/>
        </w:rPr>
        <w:t>GovCloud) ·</w:t>
      </w:r>
      <w:proofErr w:type="gramEnd"/>
      <w:r w:rsidRPr="006D649E">
        <w:rPr>
          <w:b/>
          <w:bCs/>
        </w:rPr>
        <w:t xml:space="preserve"> SSO-first authentication · unified API for CRM integration · SOC 2 Type II as the certification target.</w:t>
      </w:r>
    </w:p>
    <w:p w14:paraId="1860AB46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5880D047">
          <v:rect id="_x0000_i1211" style="width:0;height:1.5pt" o:hralign="center" o:hrstd="t" o:hr="t" fillcolor="#a0a0a0" stroked="f"/>
        </w:pict>
      </w:r>
    </w:p>
    <w:p w14:paraId="4F97657C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1. What standard we build to</w:t>
      </w:r>
    </w:p>
    <w:p w14:paraId="7E1D23B4" w14:textId="77777777" w:rsidR="006D649E" w:rsidRPr="006D649E" w:rsidRDefault="006D649E" w:rsidP="006D649E">
      <w:pPr>
        <w:rPr>
          <w:b/>
          <w:bCs/>
        </w:rPr>
      </w:pPr>
      <w:proofErr w:type="spellStart"/>
      <w:r w:rsidRPr="006D649E">
        <w:rPr>
          <w:b/>
          <w:bCs/>
        </w:rPr>
        <w:t>GovCon</w:t>
      </w:r>
      <w:proofErr w:type="spellEnd"/>
      <w:r w:rsidRPr="006D649E">
        <w:rPr>
          <w:b/>
          <w:bCs/>
        </w:rPr>
        <w:t xml:space="preserve"> buyers evaluate vendors against a predictable ladder. Build to the whole ladder, certify only as far as contracts require.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5686"/>
        <w:gridCol w:w="2074"/>
      </w:tblGrid>
      <w:tr w:rsidR="006D649E" w:rsidRPr="006D649E" w14:paraId="4420F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FB28B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CA1459B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21F80D3F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When</w:t>
            </w:r>
          </w:p>
        </w:tc>
      </w:tr>
      <w:tr w:rsidR="006D649E" w:rsidRPr="006D649E" w14:paraId="39C4E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D297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NIST SP 800-171</w:t>
            </w:r>
          </w:p>
        </w:tc>
        <w:tc>
          <w:tcPr>
            <w:tcW w:w="0" w:type="auto"/>
            <w:vAlign w:val="center"/>
            <w:hideMark/>
          </w:tcPr>
          <w:p w14:paraId="2745B4A9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The control set. 110 controls covering access, audit, config management, IR</w:t>
            </w:r>
            <w:proofErr w:type="gramStart"/>
            <w:r w:rsidRPr="006D649E">
              <w:rPr>
                <w:b/>
                <w:bCs/>
              </w:rPr>
              <w:t>, media</w:t>
            </w:r>
            <w:proofErr w:type="gramEnd"/>
            <w:r w:rsidRPr="006D649E">
              <w:rPr>
                <w:b/>
                <w:bCs/>
              </w:rPr>
              <w:t xml:space="preserve"> protection.</w:t>
            </w:r>
          </w:p>
        </w:tc>
        <w:tc>
          <w:tcPr>
            <w:tcW w:w="0" w:type="auto"/>
            <w:vAlign w:val="center"/>
            <w:hideMark/>
          </w:tcPr>
          <w:p w14:paraId="38308E03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Now — design against it</w:t>
            </w:r>
          </w:p>
        </w:tc>
      </w:tr>
      <w:tr w:rsidR="006D649E" w:rsidRPr="006D649E" w14:paraId="5695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17AF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SOC 2 Type II</w:t>
            </w:r>
          </w:p>
        </w:tc>
        <w:tc>
          <w:tcPr>
            <w:tcW w:w="0" w:type="auto"/>
            <w:vAlign w:val="center"/>
            <w:hideMark/>
          </w:tcPr>
          <w:p w14:paraId="5739790D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Independent attestation over a 3–</w:t>
            </w:r>
            <w:proofErr w:type="gramStart"/>
            <w:r w:rsidRPr="006D649E">
              <w:rPr>
                <w:b/>
                <w:bCs/>
              </w:rPr>
              <w:t>12 month</w:t>
            </w:r>
            <w:proofErr w:type="gramEnd"/>
            <w:r w:rsidRPr="006D649E">
              <w:rPr>
                <w:b/>
                <w:bCs/>
              </w:rPr>
              <w:t xml:space="preserve"> window. What a vendor-security review </w:t>
            </w:r>
            <w:proofErr w:type="gramStart"/>
            <w:r w:rsidRPr="006D649E">
              <w:rPr>
                <w:b/>
                <w:bCs/>
              </w:rPr>
              <w:t>actually asks</w:t>
            </w:r>
            <w:proofErr w:type="gramEnd"/>
            <w:r w:rsidRPr="006D649E">
              <w:rPr>
                <w:b/>
                <w:bCs/>
              </w:rPr>
              <w:t xml:space="preserve"> for.</w:t>
            </w:r>
          </w:p>
        </w:tc>
        <w:tc>
          <w:tcPr>
            <w:tcW w:w="0" w:type="auto"/>
            <w:vAlign w:val="center"/>
            <w:hideMark/>
          </w:tcPr>
          <w:p w14:paraId="52E5D7D1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First paying enterprise client</w:t>
            </w:r>
          </w:p>
        </w:tc>
      </w:tr>
      <w:tr w:rsidR="006D649E" w:rsidRPr="006D649E" w14:paraId="74B9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B077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CMMC Level 2</w:t>
            </w:r>
          </w:p>
        </w:tc>
        <w:tc>
          <w:tcPr>
            <w:tcW w:w="0" w:type="auto"/>
            <w:vAlign w:val="center"/>
            <w:hideMark/>
          </w:tcPr>
          <w:p w14:paraId="111B8FA3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 xml:space="preserve">C3PAO certification of 800-171. Required when a contract </w:t>
            </w:r>
            <w:proofErr w:type="gramStart"/>
            <w:r w:rsidRPr="006D649E">
              <w:rPr>
                <w:b/>
                <w:bCs/>
              </w:rPr>
              <w:t>flows it</w:t>
            </w:r>
            <w:proofErr w:type="gramEnd"/>
            <w:r w:rsidRPr="006D649E">
              <w:rPr>
                <w:b/>
                <w:bCs/>
              </w:rPr>
              <w:t xml:space="preserve"> down.</w:t>
            </w:r>
          </w:p>
        </w:tc>
        <w:tc>
          <w:tcPr>
            <w:tcW w:w="0" w:type="auto"/>
            <w:vAlign w:val="center"/>
            <w:hideMark/>
          </w:tcPr>
          <w:p w14:paraId="696221DA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When a contract requires it</w:t>
            </w:r>
          </w:p>
        </w:tc>
      </w:tr>
      <w:tr w:rsidR="006D649E" w:rsidRPr="006D649E" w14:paraId="16F8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DD2F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FedRAMP Moderate</w:t>
            </w:r>
          </w:p>
        </w:tc>
        <w:tc>
          <w:tcPr>
            <w:tcW w:w="0" w:type="auto"/>
            <w:vAlign w:val="center"/>
            <w:hideMark/>
          </w:tcPr>
          <w:p w14:paraId="7AB41C87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 xml:space="preserve">Only if CPDE stores CUI and CDA </w:t>
            </w:r>
            <w:proofErr w:type="gramStart"/>
            <w:r w:rsidRPr="006D649E">
              <w:rPr>
                <w:b/>
                <w:bCs/>
              </w:rPr>
              <w:t>becomes</w:t>
            </w:r>
            <w:proofErr w:type="gramEnd"/>
            <w:r w:rsidRPr="006D649E">
              <w:rPr>
                <w:b/>
                <w:bCs/>
              </w:rPr>
              <w:t xml:space="preserve"> </w:t>
            </w:r>
            <w:proofErr w:type="gramStart"/>
            <w:r w:rsidRPr="006D649E">
              <w:rPr>
                <w:b/>
                <w:bCs/>
              </w:rPr>
              <w:t>a cloud</w:t>
            </w:r>
            <w:proofErr w:type="gramEnd"/>
            <w:r w:rsidRPr="006D649E">
              <w:rPr>
                <w:b/>
                <w:bCs/>
              </w:rPr>
              <w:t xml:space="preserve"> service provider.</w:t>
            </w:r>
          </w:p>
        </w:tc>
        <w:tc>
          <w:tcPr>
            <w:tcW w:w="0" w:type="auto"/>
            <w:vAlign w:val="center"/>
            <w:hideMark/>
          </w:tcPr>
          <w:p w14:paraId="6AB759AE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Defer — see §8</w:t>
            </w:r>
          </w:p>
        </w:tc>
      </w:tr>
    </w:tbl>
    <w:p w14:paraId="524C01DF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Point to make in the meeting: we </w:t>
      </w:r>
      <w:proofErr w:type="gramStart"/>
      <w:r w:rsidRPr="006D649E">
        <w:rPr>
          <w:b/>
          <w:bCs/>
        </w:rPr>
        <w:t>design to</w:t>
      </w:r>
      <w:proofErr w:type="gramEnd"/>
      <w:r w:rsidRPr="006D649E">
        <w:rPr>
          <w:b/>
          <w:bCs/>
        </w:rPr>
        <w:t xml:space="preserve"> 800-171 from day one because retrofitting audit logging, access control and configuration management is far more expensive than building with them. We certify when a customer pays for the certification, not before.</w:t>
      </w:r>
    </w:p>
    <w:p w14:paraId="48F096E9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60C30A55">
          <v:rect id="_x0000_i1212" style="width:0;height:1.5pt" o:hralign="center" o:hrstd="t" o:hr="t" fillcolor="#a0a0a0" stroked="f"/>
        </w:pict>
      </w:r>
    </w:p>
    <w:p w14:paraId="50DA4CBF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2. Platform and data protection</w:t>
      </w:r>
    </w:p>
    <w:p w14:paraId="61BF2F0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AWS commercial, us-east-1 — same account and region as the engine.</w:t>
      </w:r>
    </w:p>
    <w:p w14:paraId="7E7AF74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Commercial AWS holds a FedRAMP Moderate P-ATO; GovCloud holds High plus DoD impact levels. If our ceiling is Moderate, commercial carries it and no migration is needed. Only FedRAMP High or DoD IL4+ would force GovCloud.</w:t>
      </w:r>
    </w:p>
    <w:p w14:paraId="4E6C53C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lastRenderedPageBreak/>
        <w:t xml:space="preserve">Azure Government and AWS GovCloud are equivalent on compliance — both FedRAMP High, both CMMC L2 capable. The deciding factor is existing stack, and ours is Python, </w:t>
      </w:r>
      <w:proofErr w:type="spellStart"/>
      <w:r w:rsidRPr="006D649E">
        <w:rPr>
          <w:b/>
          <w:bCs/>
        </w:rPr>
        <w:t>FastAPI</w:t>
      </w:r>
      <w:proofErr w:type="spellEnd"/>
      <w:r w:rsidRPr="006D649E">
        <w:rPr>
          <w:b/>
          <w:bCs/>
        </w:rPr>
        <w:t xml:space="preserve">, PostgreSQL and ECS Fargate already on AWS. Splitting the database to another cloud would add cross-cloud latency on every Pwin call, egress both directions, two compliance boundaries and two skill </w:t>
      </w:r>
      <w:proofErr w:type="gramStart"/>
      <w:r w:rsidRPr="006D649E">
        <w:rPr>
          <w:b/>
          <w:bCs/>
        </w:rPr>
        <w:t>sets</w:t>
      </w:r>
      <w:proofErr w:type="gramEnd"/>
      <w:r w:rsidRPr="006D649E">
        <w:rPr>
          <w:b/>
          <w:bCs/>
        </w:rPr>
        <w:t xml:space="preserve"> for one engineer.</w:t>
      </w:r>
    </w:p>
    <w:p w14:paraId="2CD7BB9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Action item: verify no service in our stack is commercial-only, so a future move to GovCloud is a plan rather than an unknown. Cheap now.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123"/>
      </w:tblGrid>
      <w:tr w:rsidR="006D649E" w:rsidRPr="006D649E" w14:paraId="1F0BC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33FDA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DF58569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Implementation</w:t>
            </w:r>
          </w:p>
        </w:tc>
      </w:tr>
      <w:tr w:rsidR="006D649E" w:rsidRPr="006D649E" w14:paraId="49BF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E5F4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Encryption at rest</w:t>
            </w:r>
          </w:p>
        </w:tc>
        <w:tc>
          <w:tcPr>
            <w:tcW w:w="0" w:type="auto"/>
            <w:vAlign w:val="center"/>
            <w:hideMark/>
          </w:tcPr>
          <w:p w14:paraId="7BCB8526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KMS with customer-managed keys, per tenant. RDS, S3, EBS, backups.</w:t>
            </w:r>
          </w:p>
        </w:tc>
      </w:tr>
      <w:tr w:rsidR="006D649E" w:rsidRPr="006D649E" w14:paraId="1AC20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2C07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Encryption in transit</w:t>
            </w:r>
          </w:p>
        </w:tc>
        <w:tc>
          <w:tcPr>
            <w:tcW w:w="0" w:type="auto"/>
            <w:vAlign w:val="center"/>
            <w:hideMark/>
          </w:tcPr>
          <w:p w14:paraId="662B0093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TLS 1.2 minimum, 1.3 preferred. HSTS. No plaintext internal hops.</w:t>
            </w:r>
          </w:p>
        </w:tc>
      </w:tr>
      <w:tr w:rsidR="006D649E" w:rsidRPr="006D649E" w14:paraId="66DF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57C2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35C8793B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AWS KMS. Separate key per tenant so a key can be revoked without touching others.</w:t>
            </w:r>
          </w:p>
        </w:tc>
      </w:tr>
      <w:tr w:rsidR="006D649E" w:rsidRPr="006D649E" w14:paraId="03FE3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D507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487420F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 xml:space="preserve">Private subnets for database and </w:t>
            </w:r>
            <w:proofErr w:type="gramStart"/>
            <w:r w:rsidRPr="006D649E">
              <w:rPr>
                <w:b/>
                <w:bCs/>
              </w:rPr>
              <w:t>engine</w:t>
            </w:r>
            <w:proofErr w:type="gramEnd"/>
            <w:r w:rsidRPr="006D649E">
              <w:rPr>
                <w:b/>
                <w:bCs/>
              </w:rPr>
              <w:t>. No public database endpoint. ALB + WAF is the only ingress.</w:t>
            </w:r>
          </w:p>
        </w:tc>
      </w:tr>
      <w:tr w:rsidR="006D649E" w:rsidRPr="006D649E" w14:paraId="1568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94A8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5034D1FD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AWS Secrets Manager with automatic rotation. No credentials in code, environment variables or repos.</w:t>
            </w:r>
          </w:p>
        </w:tc>
      </w:tr>
      <w:tr w:rsidR="006D649E" w:rsidRPr="006D649E" w14:paraId="021D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C493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08D22D39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Automated daily snapshots, 35-day retention, encrypted, cross-region copy. Restore tested quarterly.</w:t>
            </w:r>
          </w:p>
        </w:tc>
      </w:tr>
      <w:tr w:rsidR="006D649E" w:rsidRPr="006D649E" w14:paraId="3D7D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3D70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Vulnerability management</w:t>
            </w:r>
          </w:p>
        </w:tc>
        <w:tc>
          <w:tcPr>
            <w:tcW w:w="0" w:type="auto"/>
            <w:vAlign w:val="center"/>
            <w:hideMark/>
          </w:tcPr>
          <w:p w14:paraId="1AA4C098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Container image scanning in ECR, dependency scanning in CI, patch SLA by severity.</w:t>
            </w:r>
          </w:p>
        </w:tc>
      </w:tr>
      <w:tr w:rsidR="006D649E" w:rsidRPr="006D649E" w14:paraId="37EB2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1922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B96EC12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CloudTrail, VPC flow logs, application audit log. Written to a separate account the application cannot delete from.</w:t>
            </w:r>
          </w:p>
        </w:tc>
      </w:tr>
    </w:tbl>
    <w:p w14:paraId="52B5A2E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The last row matters more than it looks. Audit logs an attacker can erase are not audit logs. Ship them to an account with a different trust boundary.</w:t>
      </w:r>
    </w:p>
    <w:p w14:paraId="1D383E28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35705737">
          <v:rect id="_x0000_i1213" style="width:0;height:1.5pt" o:hralign="center" o:hrstd="t" o:hr="t" fillcolor="#a0a0a0" stroked="f"/>
        </w:pict>
      </w:r>
    </w:p>
    <w:p w14:paraId="11B55921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3. Tenant isolation — shared database, row-level security</w:t>
      </w:r>
    </w:p>
    <w:p w14:paraId="7528FD3C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Decision: multi-tenant shared database. One PostgreSQL instance, every tenant-scoped table carrying </w:t>
      </w:r>
      <w:proofErr w:type="spellStart"/>
      <w:r w:rsidRPr="006D649E">
        <w:rPr>
          <w:b/>
          <w:bCs/>
        </w:rPr>
        <w:t>client_id</w:t>
      </w:r>
      <w:proofErr w:type="spellEnd"/>
      <w:r w:rsidRPr="006D649E">
        <w:rPr>
          <w:b/>
          <w:bCs/>
        </w:rPr>
        <w:t xml:space="preserve">, isolation enforced by PostgreSQL Row-Level Security. </w:t>
      </w:r>
      <w:r w:rsidRPr="006D649E">
        <w:rPr>
          <w:b/>
          <w:bCs/>
        </w:rPr>
        <w:lastRenderedPageBreak/>
        <w:t xml:space="preserve">This is how most enterprise SaaS works, Salesforce included, and it is defensible to a </w:t>
      </w:r>
      <w:proofErr w:type="spellStart"/>
      <w:r w:rsidRPr="006D649E">
        <w:rPr>
          <w:b/>
          <w:bCs/>
        </w:rPr>
        <w:t>GovCon</w:t>
      </w:r>
      <w:proofErr w:type="spellEnd"/>
      <w:r w:rsidRPr="006D649E">
        <w:rPr>
          <w:b/>
          <w:bCs/>
        </w:rPr>
        <w:t xml:space="preserve"> buyer provided the three controls below are </w:t>
      </w:r>
      <w:proofErr w:type="gramStart"/>
      <w:r w:rsidRPr="006D649E">
        <w:rPr>
          <w:b/>
          <w:bCs/>
        </w:rPr>
        <w:t>actually in</w:t>
      </w:r>
      <w:proofErr w:type="gramEnd"/>
      <w:r w:rsidRPr="006D649E">
        <w:rPr>
          <w:b/>
          <w:bCs/>
        </w:rPr>
        <w:t xml:space="preserve"> place.</w:t>
      </w:r>
    </w:p>
    <w:p w14:paraId="4087D41E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What </w:t>
      </w:r>
      <w:proofErr w:type="gramStart"/>
      <w:r w:rsidRPr="006D649E">
        <w:rPr>
          <w:b/>
          <w:bCs/>
        </w:rPr>
        <w:t>this buys</w:t>
      </w:r>
      <w:proofErr w:type="gramEnd"/>
    </w:p>
    <w:p w14:paraId="35E15D56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One schema migration instead of one per client. One connection pool. Far simpler operations for a two-person company. Materially lower cost.</w:t>
      </w:r>
    </w:p>
    <w:p w14:paraId="21C68F4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What it costs, stated plainly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2990"/>
        <w:gridCol w:w="2394"/>
      </w:tblGrid>
      <w:tr w:rsidR="006D649E" w:rsidRPr="006D649E" w14:paraId="07C1B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43564" w14:textId="77777777" w:rsidR="006D649E" w:rsidRPr="006D649E" w:rsidRDefault="006D649E" w:rsidP="006D649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3134EA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Shared database</w:t>
            </w:r>
          </w:p>
        </w:tc>
        <w:tc>
          <w:tcPr>
            <w:tcW w:w="0" w:type="auto"/>
            <w:vAlign w:val="center"/>
            <w:hideMark/>
          </w:tcPr>
          <w:p w14:paraId="2CC7CAF4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Database per tenant</w:t>
            </w:r>
          </w:p>
        </w:tc>
      </w:tr>
      <w:tr w:rsidR="006D649E" w:rsidRPr="006D649E" w14:paraId="09F6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A7F1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Blast radius of one flaw</w:t>
            </w:r>
          </w:p>
        </w:tc>
        <w:tc>
          <w:tcPr>
            <w:tcW w:w="0" w:type="auto"/>
            <w:vAlign w:val="center"/>
            <w:hideMark/>
          </w:tcPr>
          <w:p w14:paraId="4D08834B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All tenants</w:t>
            </w:r>
          </w:p>
        </w:tc>
        <w:tc>
          <w:tcPr>
            <w:tcW w:w="0" w:type="auto"/>
            <w:vAlign w:val="center"/>
            <w:hideMark/>
          </w:tcPr>
          <w:p w14:paraId="5AA1BDAB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One tenant</w:t>
            </w:r>
          </w:p>
        </w:tc>
      </w:tr>
      <w:tr w:rsidR="006D649E" w:rsidRPr="006D649E" w14:paraId="3CECA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8368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Per-tenant key revocation</w:t>
            </w:r>
          </w:p>
        </w:tc>
        <w:tc>
          <w:tcPr>
            <w:tcW w:w="0" w:type="auto"/>
            <w:vAlign w:val="center"/>
            <w:hideMark/>
          </w:tcPr>
          <w:p w14:paraId="1D79FC35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6BCD4568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Destroy the key</w:t>
            </w:r>
          </w:p>
        </w:tc>
      </w:tr>
      <w:tr w:rsidR="006D649E" w:rsidRPr="006D649E" w14:paraId="090E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08AB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Restore one tenant</w:t>
            </w:r>
          </w:p>
        </w:tc>
        <w:tc>
          <w:tcPr>
            <w:tcW w:w="0" w:type="auto"/>
            <w:vAlign w:val="center"/>
            <w:hideMark/>
          </w:tcPr>
          <w:p w14:paraId="3BAE7EF5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Extract and replay rows</w:t>
            </w:r>
          </w:p>
        </w:tc>
        <w:tc>
          <w:tcPr>
            <w:tcW w:w="0" w:type="auto"/>
            <w:vAlign w:val="center"/>
            <w:hideMark/>
          </w:tcPr>
          <w:p w14:paraId="304959FE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Restore the database</w:t>
            </w:r>
          </w:p>
        </w:tc>
      </w:tr>
      <w:tr w:rsidR="006D649E" w:rsidRPr="006D649E" w14:paraId="2CA4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93DF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Answering "how are we isolated?"</w:t>
            </w:r>
          </w:p>
        </w:tc>
        <w:tc>
          <w:tcPr>
            <w:tcW w:w="0" w:type="auto"/>
            <w:vAlign w:val="center"/>
            <w:hideMark/>
          </w:tcPr>
          <w:p w14:paraId="5201D656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Demonstrate RLS coverage</w:t>
            </w:r>
          </w:p>
        </w:tc>
        <w:tc>
          <w:tcPr>
            <w:tcW w:w="0" w:type="auto"/>
            <w:vAlign w:val="center"/>
            <w:hideMark/>
          </w:tcPr>
          <w:p w14:paraId="2B8872B1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One sentence</w:t>
            </w:r>
          </w:p>
        </w:tc>
      </w:tr>
    </w:tbl>
    <w:p w14:paraId="45B85D9C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We accept these. The compensating controls below are what make the answer credible rather than hopeful.</w:t>
      </w:r>
    </w:p>
    <w:p w14:paraId="4CEBF44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The three non-negotiables</w:t>
      </w:r>
    </w:p>
    <w:p w14:paraId="13080485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1. FORCE ROW LEVEL SECURITY, and the application must not own the tables. A table owner bypasses RLS by default. Application connects as a restricted role that owns nothing. This is the most common way an RLS deployment turns out to be decorative.</w:t>
      </w:r>
    </w:p>
    <w:p w14:paraId="35A20DE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ALTER TABLE pursuit ENABLE ROW LEVEL SECURITY;</w:t>
      </w:r>
    </w:p>
    <w:p w14:paraId="24FD0C0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ALTER TABLE pursuit FORCE ROW LEVEL SECURITY;</w:t>
      </w:r>
    </w:p>
    <w:p w14:paraId="1AC219BE" w14:textId="77777777" w:rsidR="006D649E" w:rsidRPr="006D649E" w:rsidRDefault="006D649E" w:rsidP="006D649E">
      <w:pPr>
        <w:rPr>
          <w:b/>
          <w:bCs/>
        </w:rPr>
      </w:pPr>
    </w:p>
    <w:p w14:paraId="23625B47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CREATE POLICY </w:t>
      </w:r>
      <w:proofErr w:type="spellStart"/>
      <w:r w:rsidRPr="006D649E">
        <w:rPr>
          <w:b/>
          <w:bCs/>
        </w:rPr>
        <w:t>tenant_isolation</w:t>
      </w:r>
      <w:proofErr w:type="spellEnd"/>
      <w:r w:rsidRPr="006D649E">
        <w:rPr>
          <w:b/>
          <w:bCs/>
        </w:rPr>
        <w:t xml:space="preserve"> ON pursuit</w:t>
      </w:r>
    </w:p>
    <w:p w14:paraId="0F5470B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  USING (</w:t>
      </w:r>
      <w:proofErr w:type="spellStart"/>
      <w:r w:rsidRPr="006D649E">
        <w:rPr>
          <w:b/>
          <w:bCs/>
        </w:rPr>
        <w:t>client_id</w:t>
      </w:r>
      <w:proofErr w:type="spellEnd"/>
      <w:r w:rsidRPr="006D649E">
        <w:rPr>
          <w:b/>
          <w:bCs/>
        </w:rPr>
        <w:t xml:space="preserve"> = </w:t>
      </w:r>
      <w:proofErr w:type="spellStart"/>
      <w:r w:rsidRPr="006D649E">
        <w:rPr>
          <w:b/>
          <w:bCs/>
        </w:rPr>
        <w:t>current_setting</w:t>
      </w:r>
      <w:proofErr w:type="spellEnd"/>
      <w:r w:rsidRPr="006D649E">
        <w:rPr>
          <w:b/>
          <w:bCs/>
        </w:rPr>
        <w:t>('</w:t>
      </w:r>
      <w:proofErr w:type="spellStart"/>
      <w:proofErr w:type="gramStart"/>
      <w:r w:rsidRPr="006D649E">
        <w:rPr>
          <w:b/>
          <w:bCs/>
        </w:rPr>
        <w:t>app.client</w:t>
      </w:r>
      <w:proofErr w:type="gramEnd"/>
      <w:r w:rsidRPr="006D649E">
        <w:rPr>
          <w:b/>
          <w:bCs/>
        </w:rPr>
        <w:t>_id</w:t>
      </w:r>
      <w:proofErr w:type="spellEnd"/>
      <w:r w:rsidRPr="006D649E">
        <w:rPr>
          <w:b/>
          <w:bCs/>
        </w:rPr>
        <w:t>'</w:t>
      </w:r>
      <w:proofErr w:type="gramStart"/>
      <w:r w:rsidRPr="006D649E">
        <w:rPr>
          <w:b/>
          <w:bCs/>
        </w:rPr>
        <w:t>)::</w:t>
      </w:r>
      <w:proofErr w:type="spellStart"/>
      <w:proofErr w:type="gramEnd"/>
      <w:r w:rsidRPr="006D649E">
        <w:rPr>
          <w:b/>
          <w:bCs/>
        </w:rPr>
        <w:t>uuid</w:t>
      </w:r>
      <w:proofErr w:type="spellEnd"/>
      <w:r w:rsidRPr="006D649E">
        <w:rPr>
          <w:b/>
          <w:bCs/>
        </w:rPr>
        <w:t>);</w:t>
      </w:r>
    </w:p>
    <w:p w14:paraId="3573C4C3" w14:textId="77777777" w:rsidR="006D649E" w:rsidRPr="006D649E" w:rsidRDefault="006D649E" w:rsidP="006D649E">
      <w:pPr>
        <w:rPr>
          <w:b/>
          <w:bCs/>
        </w:rPr>
      </w:pPr>
    </w:p>
    <w:p w14:paraId="355048DA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-- </w:t>
      </w:r>
      <w:proofErr w:type="spellStart"/>
      <w:r w:rsidRPr="006D649E">
        <w:rPr>
          <w:b/>
          <w:bCs/>
        </w:rPr>
        <w:t>app_role</w:t>
      </w:r>
      <w:proofErr w:type="spellEnd"/>
      <w:r w:rsidRPr="006D649E">
        <w:rPr>
          <w:b/>
          <w:bCs/>
        </w:rPr>
        <w:t xml:space="preserve"> owns nothing and cannot bypass</w:t>
      </w:r>
    </w:p>
    <w:p w14:paraId="6407AF21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GRANT SELECT, INSERT, UPDATE, DELETE ON pursuit TO </w:t>
      </w:r>
      <w:proofErr w:type="spellStart"/>
      <w:r w:rsidRPr="006D649E">
        <w:rPr>
          <w:b/>
          <w:bCs/>
        </w:rPr>
        <w:t>app_role</w:t>
      </w:r>
      <w:proofErr w:type="spellEnd"/>
      <w:r w:rsidRPr="006D649E">
        <w:rPr>
          <w:b/>
          <w:bCs/>
        </w:rPr>
        <w:t>;</w:t>
      </w:r>
    </w:p>
    <w:p w14:paraId="15D6805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2. Tenant context is set per transaction, never per connection. With a pooled connection, SET at connect time leaks the previous request's tenant to the next </w:t>
      </w:r>
      <w:r w:rsidRPr="006D649E">
        <w:rPr>
          <w:b/>
          <w:bCs/>
        </w:rPr>
        <w:lastRenderedPageBreak/>
        <w:t>request on that connection. Use SET LOCAL inside the transaction, derived from the authenticated session, never from anything the client sends.</w:t>
      </w:r>
    </w:p>
    <w:p w14:paraId="6105A2E1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BEGIN;</w:t>
      </w:r>
    </w:p>
    <w:p w14:paraId="30466A74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SET LOCAL </w:t>
      </w:r>
      <w:proofErr w:type="spellStart"/>
      <w:proofErr w:type="gramStart"/>
      <w:r w:rsidRPr="006D649E">
        <w:rPr>
          <w:b/>
          <w:bCs/>
        </w:rPr>
        <w:t>app.client</w:t>
      </w:r>
      <w:proofErr w:type="gramEnd"/>
      <w:r w:rsidRPr="006D649E">
        <w:rPr>
          <w:b/>
          <w:bCs/>
        </w:rPr>
        <w:t>_id</w:t>
      </w:r>
      <w:proofErr w:type="spellEnd"/>
      <w:r w:rsidRPr="006D649E">
        <w:rPr>
          <w:b/>
          <w:bCs/>
        </w:rPr>
        <w:t xml:space="preserve"> = </w:t>
      </w:r>
      <w:proofErr w:type="gramStart"/>
      <w:r w:rsidRPr="006D649E">
        <w:rPr>
          <w:b/>
          <w:bCs/>
        </w:rPr>
        <w:t xml:space="preserve">'...';   </w:t>
      </w:r>
      <w:proofErr w:type="gramEnd"/>
      <w:r w:rsidRPr="006D649E">
        <w:rPr>
          <w:b/>
          <w:bCs/>
        </w:rPr>
        <w:t>-- from the auth token, not the request body</w:t>
      </w:r>
    </w:p>
    <w:p w14:paraId="186EC061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-- queries here</w:t>
      </w:r>
    </w:p>
    <w:p w14:paraId="6BD713B7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COMMIT;</w:t>
      </w:r>
    </w:p>
    <w:p w14:paraId="351C427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3. A cross-tenant test in CI that fails the build. </w:t>
      </w:r>
      <w:proofErr w:type="gramStart"/>
      <w:r w:rsidRPr="006D649E">
        <w:rPr>
          <w:b/>
          <w:bCs/>
        </w:rPr>
        <w:t>Seed two</w:t>
      </w:r>
      <w:proofErr w:type="gramEnd"/>
      <w:r w:rsidRPr="006D649E">
        <w:rPr>
          <w:b/>
          <w:bCs/>
        </w:rPr>
        <w:t xml:space="preserve"> </w:t>
      </w:r>
      <w:proofErr w:type="gramStart"/>
      <w:r w:rsidRPr="006D649E">
        <w:rPr>
          <w:b/>
          <w:bCs/>
        </w:rPr>
        <w:t>tenants,</w:t>
      </w:r>
      <w:proofErr w:type="gramEnd"/>
      <w:r w:rsidRPr="006D649E">
        <w:rPr>
          <w:b/>
          <w:bCs/>
        </w:rPr>
        <w:t xml:space="preserve"> authenticate as one, attempt to read the other across every endpoint and every report. One returned row fails the build. This is also the artifact handed to a security reviewer — it converts "we use RLS" into evidence.</w:t>
      </w:r>
    </w:p>
    <w:p w14:paraId="182E1012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Layered on top</w:t>
      </w:r>
    </w:p>
    <w:p w14:paraId="3A2B314C" w14:textId="77777777" w:rsidR="006D649E" w:rsidRPr="006D649E" w:rsidRDefault="006D649E" w:rsidP="006D649E">
      <w:pPr>
        <w:numPr>
          <w:ilvl w:val="0"/>
          <w:numId w:val="8"/>
        </w:numPr>
        <w:rPr>
          <w:b/>
          <w:bCs/>
        </w:rPr>
      </w:pPr>
      <w:r w:rsidRPr="006D649E">
        <w:rPr>
          <w:b/>
          <w:bCs/>
        </w:rPr>
        <w:t xml:space="preserve">Scope predicate on top of tenant isolation. RLS separates companies; </w:t>
      </w:r>
      <w:proofErr w:type="spellStart"/>
      <w:r w:rsidRPr="006D649E">
        <w:rPr>
          <w:b/>
          <w:bCs/>
        </w:rPr>
        <w:t>fn_user_visible_org_nodes</w:t>
      </w:r>
      <w:proofErr w:type="spellEnd"/>
      <w:r w:rsidRPr="006D649E">
        <w:rPr>
          <w:b/>
          <w:bCs/>
        </w:rPr>
        <w:t xml:space="preserve"> separates business units within a company. Two distinct concerns — do not </w:t>
      </w:r>
      <w:proofErr w:type="gramStart"/>
      <w:r w:rsidRPr="006D649E">
        <w:rPr>
          <w:b/>
          <w:bCs/>
        </w:rPr>
        <w:t>conflate them in</w:t>
      </w:r>
      <w:proofErr w:type="gramEnd"/>
      <w:r w:rsidRPr="006D649E">
        <w:rPr>
          <w:b/>
          <w:bCs/>
        </w:rPr>
        <w:t xml:space="preserve"> one policy.</w:t>
      </w:r>
    </w:p>
    <w:p w14:paraId="260EF146" w14:textId="77777777" w:rsidR="006D649E" w:rsidRPr="006D649E" w:rsidRDefault="006D649E" w:rsidP="006D649E">
      <w:pPr>
        <w:numPr>
          <w:ilvl w:val="0"/>
          <w:numId w:val="8"/>
        </w:numPr>
        <w:rPr>
          <w:b/>
          <w:bCs/>
        </w:rPr>
      </w:pPr>
      <w:r w:rsidRPr="006D649E">
        <w:rPr>
          <w:b/>
          <w:bCs/>
        </w:rPr>
        <w:t>Encryption at rest via KMS on the RDS instance. Single key, so plan deletion as an operational procedure with evidence, not as key destruction.</w:t>
      </w:r>
    </w:p>
    <w:p w14:paraId="264ADAE8" w14:textId="77777777" w:rsidR="006D649E" w:rsidRPr="006D649E" w:rsidRDefault="006D649E" w:rsidP="006D649E">
      <w:pPr>
        <w:numPr>
          <w:ilvl w:val="0"/>
          <w:numId w:val="8"/>
        </w:numPr>
        <w:rPr>
          <w:b/>
          <w:bCs/>
        </w:rPr>
      </w:pPr>
      <w:r w:rsidRPr="006D649E">
        <w:rPr>
          <w:b/>
          <w:bCs/>
        </w:rPr>
        <w:t>Data export and deletion on contract end is a documented, tested runbook producing a certificate of deletion. This replaces the key- destruction answer and clients will ask for it.</w:t>
      </w:r>
    </w:p>
    <w:p w14:paraId="20BCACE8" w14:textId="77777777" w:rsidR="006D649E" w:rsidRPr="006D649E" w:rsidRDefault="006D649E" w:rsidP="006D649E">
      <w:pPr>
        <w:numPr>
          <w:ilvl w:val="0"/>
          <w:numId w:val="8"/>
        </w:numPr>
        <w:rPr>
          <w:b/>
          <w:bCs/>
        </w:rPr>
      </w:pPr>
      <w:r w:rsidRPr="006D649E">
        <w:rPr>
          <w:b/>
          <w:bCs/>
        </w:rPr>
        <w:t xml:space="preserve">Backups are shared. </w:t>
      </w:r>
      <w:proofErr w:type="gramStart"/>
      <w:r w:rsidRPr="006D649E">
        <w:rPr>
          <w:b/>
          <w:bCs/>
        </w:rPr>
        <w:t>A restore</w:t>
      </w:r>
      <w:proofErr w:type="gramEnd"/>
      <w:r w:rsidRPr="006D649E">
        <w:rPr>
          <w:b/>
          <w:bCs/>
        </w:rPr>
        <w:t xml:space="preserve"> is a row-level operation. Write and test that runbook before a client needs it, not during.</w:t>
      </w:r>
    </w:p>
    <w:p w14:paraId="014203B9" w14:textId="77777777" w:rsidR="006D649E" w:rsidRPr="006D649E" w:rsidRDefault="006D649E" w:rsidP="006D649E">
      <w:pPr>
        <w:numPr>
          <w:ilvl w:val="0"/>
          <w:numId w:val="8"/>
        </w:numPr>
        <w:rPr>
          <w:b/>
          <w:bCs/>
        </w:rPr>
      </w:pPr>
      <w:r w:rsidRPr="006D649E">
        <w:rPr>
          <w:b/>
          <w:bCs/>
        </w:rPr>
        <w:t xml:space="preserve">Path to dedicated tenancy stays open. Because everything is keyed on </w:t>
      </w:r>
      <w:proofErr w:type="spellStart"/>
      <w:r w:rsidRPr="006D649E">
        <w:rPr>
          <w:b/>
          <w:bCs/>
        </w:rPr>
        <w:t>client_id</w:t>
      </w:r>
      <w:proofErr w:type="spellEnd"/>
      <w:r w:rsidRPr="006D649E">
        <w:rPr>
          <w:b/>
          <w:bCs/>
        </w:rPr>
        <w:t xml:space="preserve"> and nothing is client-specific in code, moving one client to their own database later is a data migration and a connection-string change — not a rewrite. Price it as a premium option if a client insists.</w:t>
      </w:r>
    </w:p>
    <w:p w14:paraId="5C956F9A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4. Onboarding a company</w:t>
      </w:r>
    </w:p>
    <w:p w14:paraId="6BE744E7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Provisioning is a controlled workflow, not a form. CDA runs it.</w:t>
      </w:r>
    </w:p>
    <w:p w14:paraId="224B550B" w14:textId="77777777" w:rsidR="006D649E" w:rsidRPr="006D649E" w:rsidRDefault="006D649E" w:rsidP="006D649E">
      <w:pPr>
        <w:numPr>
          <w:ilvl w:val="0"/>
          <w:numId w:val="9"/>
        </w:numPr>
        <w:rPr>
          <w:b/>
          <w:bCs/>
        </w:rPr>
      </w:pPr>
      <w:r w:rsidRPr="006D649E">
        <w:rPr>
          <w:b/>
          <w:bCs/>
        </w:rPr>
        <w:t xml:space="preserve">Create tenant — client record and </w:t>
      </w:r>
      <w:proofErr w:type="spellStart"/>
      <w:r w:rsidRPr="006D649E">
        <w:rPr>
          <w:b/>
          <w:bCs/>
        </w:rPr>
        <w:t>client_id</w:t>
      </w:r>
      <w:proofErr w:type="spellEnd"/>
      <w:r w:rsidRPr="006D649E">
        <w:rPr>
          <w:b/>
          <w:bCs/>
        </w:rPr>
        <w:t>; no new database</w:t>
      </w:r>
    </w:p>
    <w:p w14:paraId="3F0A5C0A" w14:textId="77777777" w:rsidR="006D649E" w:rsidRPr="006D649E" w:rsidRDefault="006D649E" w:rsidP="006D649E">
      <w:pPr>
        <w:numPr>
          <w:ilvl w:val="0"/>
          <w:numId w:val="9"/>
        </w:numPr>
        <w:rPr>
          <w:b/>
          <w:bCs/>
        </w:rPr>
      </w:pPr>
      <w:r w:rsidRPr="006D649E">
        <w:rPr>
          <w:b/>
          <w:bCs/>
        </w:rPr>
        <w:t>Configure org tree — Business → Business Unit → Division as the client defines it</w:t>
      </w:r>
    </w:p>
    <w:p w14:paraId="0B79CBB2" w14:textId="77777777" w:rsidR="006D649E" w:rsidRPr="006D649E" w:rsidRDefault="006D649E" w:rsidP="006D649E">
      <w:pPr>
        <w:numPr>
          <w:ilvl w:val="0"/>
          <w:numId w:val="9"/>
        </w:numPr>
        <w:rPr>
          <w:b/>
          <w:bCs/>
        </w:rPr>
      </w:pPr>
      <w:r w:rsidRPr="006D649E">
        <w:rPr>
          <w:b/>
          <w:bCs/>
        </w:rPr>
        <w:t>Provision markets — CDA-supplied; differentials stay engine-side</w:t>
      </w:r>
    </w:p>
    <w:p w14:paraId="5A8819E5" w14:textId="77777777" w:rsidR="006D649E" w:rsidRPr="006D649E" w:rsidRDefault="006D649E" w:rsidP="006D649E">
      <w:pPr>
        <w:numPr>
          <w:ilvl w:val="0"/>
          <w:numId w:val="9"/>
        </w:numPr>
        <w:rPr>
          <w:b/>
          <w:bCs/>
        </w:rPr>
      </w:pPr>
      <w:r w:rsidRPr="006D649E">
        <w:rPr>
          <w:b/>
          <w:bCs/>
        </w:rPr>
        <w:lastRenderedPageBreak/>
        <w:t>Register email domains — one or more verified domains (§6)</w:t>
      </w:r>
    </w:p>
    <w:p w14:paraId="325642CE" w14:textId="77777777" w:rsidR="006D649E" w:rsidRPr="006D649E" w:rsidRDefault="006D649E" w:rsidP="006D649E">
      <w:pPr>
        <w:numPr>
          <w:ilvl w:val="0"/>
          <w:numId w:val="9"/>
        </w:numPr>
        <w:rPr>
          <w:b/>
          <w:bCs/>
        </w:rPr>
      </w:pPr>
      <w:r w:rsidRPr="006D649E">
        <w:rPr>
          <w:b/>
          <w:bCs/>
        </w:rPr>
        <w:t>Designate the first admin — named individual, verified out of band (a phone call, not an email), scoped at the top node</w:t>
      </w:r>
    </w:p>
    <w:p w14:paraId="324D9FCB" w14:textId="77777777" w:rsidR="006D649E" w:rsidRPr="006D649E" w:rsidRDefault="006D649E" w:rsidP="006D649E">
      <w:pPr>
        <w:numPr>
          <w:ilvl w:val="0"/>
          <w:numId w:val="9"/>
        </w:numPr>
        <w:rPr>
          <w:b/>
          <w:bCs/>
        </w:rPr>
      </w:pPr>
      <w:r w:rsidRPr="006D649E">
        <w:rPr>
          <w:b/>
          <w:bCs/>
        </w:rPr>
        <w:t>Client admin takes over — adds their own users from there</w:t>
      </w:r>
    </w:p>
    <w:p w14:paraId="66F8091C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Steps 1–5 are CDA-operated and should be automated as one script with an approval gate, not clicked through a console. Step 6 is self-service.</w:t>
      </w:r>
    </w:p>
    <w:p w14:paraId="54825342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Deprovisioning needs the same rigor and usually gets none. Contract ends: disable access immediately, export their data in a documented format, retain per contract, then delete their rows and issue a certificate of deletion. With a shared database this is a tested runbook, not a key destruction — write it before a client asks.</w:t>
      </w:r>
    </w:p>
    <w:p w14:paraId="26C0EDE2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31CEA7E2">
          <v:rect id="_x0000_i1214" style="width:0;height:1.5pt" o:hralign="center" o:hrstd="t" o:hr="t" fillcolor="#a0a0a0" stroked="f"/>
        </w:pict>
      </w:r>
    </w:p>
    <w:p w14:paraId="5272C7F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5. Admin delegation</w:t>
      </w:r>
    </w:p>
    <w:p w14:paraId="186D8EBF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Roles, narrowest to broadest: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538"/>
      </w:tblGrid>
      <w:tr w:rsidR="006D649E" w:rsidRPr="006D649E" w14:paraId="355CE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9E438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84FFFA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Can do</w:t>
            </w:r>
          </w:p>
        </w:tc>
      </w:tr>
      <w:tr w:rsidR="006D649E" w:rsidRPr="006D649E" w14:paraId="6DFCA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0358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Read Only</w:t>
            </w:r>
          </w:p>
        </w:tc>
        <w:tc>
          <w:tcPr>
            <w:tcW w:w="0" w:type="auto"/>
            <w:vAlign w:val="center"/>
            <w:hideMark/>
          </w:tcPr>
          <w:p w14:paraId="6A482D3E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View pursuits within assigned scope</w:t>
            </w:r>
          </w:p>
        </w:tc>
      </w:tr>
      <w:tr w:rsidR="006D649E" w:rsidRPr="006D649E" w14:paraId="2018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CC41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Capture Manager</w:t>
            </w:r>
          </w:p>
        </w:tc>
        <w:tc>
          <w:tcPr>
            <w:tcW w:w="0" w:type="auto"/>
            <w:vAlign w:val="center"/>
            <w:hideMark/>
          </w:tcPr>
          <w:p w14:paraId="25509961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Create and edit pursuits, answer Pwin questionnaires, within scope</w:t>
            </w:r>
          </w:p>
        </w:tc>
      </w:tr>
      <w:tr w:rsidR="006D649E" w:rsidRPr="006D649E" w14:paraId="1545B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2500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BU Admin</w:t>
            </w:r>
          </w:p>
        </w:tc>
        <w:tc>
          <w:tcPr>
            <w:tcW w:w="0" w:type="auto"/>
            <w:vAlign w:val="center"/>
            <w:hideMark/>
          </w:tcPr>
          <w:p w14:paraId="79D2564D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The above, plus add and remove users at their node and below</w:t>
            </w:r>
          </w:p>
        </w:tc>
      </w:tr>
      <w:tr w:rsidR="006D649E" w:rsidRPr="006D649E" w14:paraId="03E70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5408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Client Admin</w:t>
            </w:r>
          </w:p>
        </w:tc>
        <w:tc>
          <w:tcPr>
            <w:tcW w:w="0" w:type="auto"/>
            <w:vAlign w:val="center"/>
            <w:hideMark/>
          </w:tcPr>
          <w:p w14:paraId="3D9478B2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All nodes for that client, plus org structure and targets</w:t>
            </w:r>
          </w:p>
        </w:tc>
      </w:tr>
      <w:tr w:rsidR="006D649E" w:rsidRPr="006D649E" w14:paraId="3C8D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6EEF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CDA Support</w:t>
            </w:r>
          </w:p>
        </w:tc>
        <w:tc>
          <w:tcPr>
            <w:tcW w:w="0" w:type="auto"/>
            <w:vAlign w:val="center"/>
            <w:hideMark/>
          </w:tcPr>
          <w:p w14:paraId="39E5B63E" w14:textId="77777777" w:rsidR="006D649E" w:rsidRPr="006D649E" w:rsidRDefault="006D649E" w:rsidP="006D649E">
            <w:pPr>
              <w:rPr>
                <w:b/>
                <w:bCs/>
              </w:rPr>
            </w:pPr>
            <w:r w:rsidRPr="006D649E">
              <w:rPr>
                <w:b/>
                <w:bCs/>
              </w:rPr>
              <w:t>Cross-tenant, break-glass only, time-boxed, every action logged and reviewed</w:t>
            </w:r>
          </w:p>
        </w:tc>
      </w:tr>
    </w:tbl>
    <w:p w14:paraId="12CA54D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The delegation rule is the same recursive scope predicate that governs pursuit visibility: an admin can only grant access to nodes at or below their </w:t>
      </w:r>
      <w:proofErr w:type="gramStart"/>
      <w:r w:rsidRPr="006D649E">
        <w:rPr>
          <w:b/>
          <w:bCs/>
        </w:rPr>
        <w:t>own, and</w:t>
      </w:r>
      <w:proofErr w:type="gramEnd"/>
      <w:r w:rsidRPr="006D649E">
        <w:rPr>
          <w:b/>
          <w:bCs/>
        </w:rPr>
        <w:t xml:space="preserve"> can never grant a role above their own. Both halves matter — without the second, a BU Admin can create a Client Admin and escalate.</w:t>
      </w:r>
    </w:p>
    <w:p w14:paraId="7726695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CDA Support access is the one </w:t>
      </w:r>
      <w:proofErr w:type="gramStart"/>
      <w:r w:rsidRPr="006D649E">
        <w:rPr>
          <w:b/>
          <w:bCs/>
        </w:rPr>
        <w:t>auditors</w:t>
      </w:r>
      <w:proofErr w:type="gramEnd"/>
      <w:r w:rsidRPr="006D649E">
        <w:rPr>
          <w:b/>
          <w:bCs/>
        </w:rPr>
        <w:t xml:space="preserve"> will ask about. Time-boxed elevation, business justification recorded, notification to the client admin, automatic expiry. Not a standing account.</w:t>
      </w:r>
    </w:p>
    <w:p w14:paraId="17A329C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600B46D7">
          <v:rect id="_x0000_i1215" style="width:0;height:1.5pt" o:hralign="center" o:hrstd="t" o:hr="t" fillcolor="#a0a0a0" stroked="f"/>
        </w:pict>
      </w:r>
    </w:p>
    <w:p w14:paraId="6985CF84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lastRenderedPageBreak/>
        <w:t>6. Email domain verification</w:t>
      </w:r>
    </w:p>
    <w:p w14:paraId="4D76E53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Every client </w:t>
      </w:r>
      <w:proofErr w:type="gramStart"/>
      <w:r w:rsidRPr="006D649E">
        <w:rPr>
          <w:b/>
          <w:bCs/>
        </w:rPr>
        <w:t>registers</w:t>
      </w:r>
      <w:proofErr w:type="gramEnd"/>
      <w:r w:rsidRPr="006D649E">
        <w:rPr>
          <w:b/>
          <w:bCs/>
        </w:rPr>
        <w:t xml:space="preserve"> one or more domains. A user can only be invited at an address matching a registered domain for that client.</w:t>
      </w:r>
    </w:p>
    <w:p w14:paraId="6543C518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This will not survive contact with reality, and it is better to say so now:</w:t>
      </w:r>
    </w:p>
    <w:p w14:paraId="73ED1550" w14:textId="77777777" w:rsidR="006D649E" w:rsidRPr="006D649E" w:rsidRDefault="006D649E" w:rsidP="006D649E">
      <w:pPr>
        <w:numPr>
          <w:ilvl w:val="0"/>
          <w:numId w:val="10"/>
        </w:numPr>
        <w:rPr>
          <w:b/>
          <w:bCs/>
        </w:rPr>
      </w:pPr>
      <w:r w:rsidRPr="006D649E">
        <w:rPr>
          <w:b/>
          <w:bCs/>
        </w:rPr>
        <w:t>Contractors and consultants on a capture team often carry their own domains. Real requirement, immediate exception.</w:t>
      </w:r>
    </w:p>
    <w:p w14:paraId="695797F8" w14:textId="77777777" w:rsidR="006D649E" w:rsidRPr="006D649E" w:rsidRDefault="006D649E" w:rsidP="006D649E">
      <w:pPr>
        <w:numPr>
          <w:ilvl w:val="0"/>
          <w:numId w:val="10"/>
        </w:numPr>
        <w:rPr>
          <w:b/>
          <w:bCs/>
        </w:rPr>
      </w:pPr>
      <w:r w:rsidRPr="006D649E">
        <w:rPr>
          <w:b/>
          <w:bCs/>
        </w:rPr>
        <w:t>Subsidiaries and acquisitions — a large primes' BUs frequently use different domains.</w:t>
      </w:r>
    </w:p>
    <w:p w14:paraId="606DF350" w14:textId="77777777" w:rsidR="006D649E" w:rsidRPr="006D649E" w:rsidRDefault="006D649E" w:rsidP="006D649E">
      <w:pPr>
        <w:numPr>
          <w:ilvl w:val="0"/>
          <w:numId w:val="10"/>
        </w:numPr>
        <w:rPr>
          <w:b/>
          <w:bCs/>
        </w:rPr>
      </w:pPr>
      <w:r w:rsidRPr="006D649E">
        <w:rPr>
          <w:b/>
          <w:bCs/>
        </w:rPr>
        <w:t>Joint ventures — a JV pursuit may legitimately involve two companies.</w:t>
      </w:r>
    </w:p>
    <w:p w14:paraId="751C2551" w14:textId="77777777" w:rsidR="006D649E" w:rsidRPr="006D649E" w:rsidRDefault="006D649E" w:rsidP="006D649E">
      <w:pPr>
        <w:numPr>
          <w:ilvl w:val="0"/>
          <w:numId w:val="10"/>
        </w:numPr>
        <w:rPr>
          <w:b/>
          <w:bCs/>
        </w:rPr>
      </w:pPr>
      <w:r w:rsidRPr="006D649E">
        <w:rPr>
          <w:b/>
          <w:bCs/>
        </w:rPr>
        <w:t>Personal-domain small firms exist in this market.</w:t>
      </w:r>
    </w:p>
    <w:p w14:paraId="53D08BC9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So: domain matching as the default, plus an explicit exception list where a Client Admin can approve a named address, with a reason, recorded in the audit log. The control is not that exceptions are impossible — it is that exceptions are deliberate, attributable and reviewable.</w:t>
      </w:r>
    </w:p>
    <w:p w14:paraId="028F858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2BA999B9">
          <v:rect id="_x0000_i1216" style="width:0;height:1.5pt" o:hralign="center" o:hrstd="t" o:hr="t" fillcolor="#a0a0a0" stroked="f"/>
        </w:pict>
      </w:r>
    </w:p>
    <w:p w14:paraId="57012D0E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6a. Per-client API keys and licensing</w:t>
      </w:r>
    </w:p>
    <w:p w14:paraId="632A5CB6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API keys still work, and shared tenancy makes them cleaner. The key already resolves to a client through the hashed reverse-index in SSM. That same lookup now yields the </w:t>
      </w:r>
      <w:proofErr w:type="spellStart"/>
      <w:r w:rsidRPr="006D649E">
        <w:rPr>
          <w:b/>
          <w:bCs/>
        </w:rPr>
        <w:t>client_id</w:t>
      </w:r>
      <w:proofErr w:type="spellEnd"/>
      <w:r w:rsidRPr="006D649E">
        <w:rPr>
          <w:b/>
          <w:bCs/>
        </w:rPr>
        <w:t xml:space="preserve"> used as the RLS context for the transaction — one resolution, one place, every query scoped automatically.</w:t>
      </w:r>
    </w:p>
    <w:p w14:paraId="6B338EC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One change is mandatory. The workbook holds an API key today; a browser must never hold one. In the web version the user authenticates via </w:t>
      </w:r>
      <w:proofErr w:type="gramStart"/>
      <w:r w:rsidRPr="006D649E">
        <w:rPr>
          <w:b/>
          <w:bCs/>
        </w:rPr>
        <w:t>SSO</w:t>
      </w:r>
      <w:proofErr w:type="gramEnd"/>
      <w:r w:rsidRPr="006D649E">
        <w:rPr>
          <w:b/>
          <w:bCs/>
        </w:rPr>
        <w:t xml:space="preserve"> and the </w:t>
      </w:r>
      <w:r w:rsidRPr="006D649E">
        <w:rPr>
          <w:b/>
          <w:bCs/>
          <w:i/>
          <w:iCs/>
        </w:rPr>
        <w:t>backend</w:t>
      </w:r>
      <w:r w:rsidRPr="006D649E">
        <w:rPr>
          <w:b/>
          <w:bCs/>
        </w:rPr>
        <w:t xml:space="preserve"> holds the engine credential. The per-client key survives as a server-to-server secret the client never sees.</w:t>
      </w:r>
    </w:p>
    <w:p w14:paraId="33FA42C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Licensing lives in the database, not in the access path.</w:t>
      </w:r>
    </w:p>
    <w:p w14:paraId="22E00916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license</w:t>
      </w:r>
    </w:p>
    <w:p w14:paraId="07C94718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  </w:t>
      </w:r>
      <w:proofErr w:type="spellStart"/>
      <w:r w:rsidRPr="006D649E">
        <w:rPr>
          <w:b/>
          <w:bCs/>
        </w:rPr>
        <w:t>client_id</w:t>
      </w:r>
      <w:proofErr w:type="spellEnd"/>
      <w:r w:rsidRPr="006D649E">
        <w:rPr>
          <w:b/>
          <w:bCs/>
        </w:rPr>
        <w:t xml:space="preserve">, </w:t>
      </w:r>
      <w:proofErr w:type="spellStart"/>
      <w:r w:rsidRPr="006D649E">
        <w:rPr>
          <w:b/>
          <w:bCs/>
        </w:rPr>
        <w:t>org_node_id</w:t>
      </w:r>
      <w:proofErr w:type="spellEnd"/>
      <w:r w:rsidRPr="006D649E">
        <w:rPr>
          <w:b/>
          <w:bCs/>
        </w:rPr>
        <w:t xml:space="preserve"> (nullable)</w:t>
      </w:r>
    </w:p>
    <w:p w14:paraId="4FB91CBD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  </w:t>
      </w:r>
      <w:proofErr w:type="spellStart"/>
      <w:r w:rsidRPr="006D649E">
        <w:rPr>
          <w:b/>
          <w:bCs/>
        </w:rPr>
        <w:t>contract_start</w:t>
      </w:r>
      <w:proofErr w:type="spellEnd"/>
      <w:r w:rsidRPr="006D649E">
        <w:rPr>
          <w:b/>
          <w:bCs/>
        </w:rPr>
        <w:t xml:space="preserve">, </w:t>
      </w:r>
      <w:proofErr w:type="spellStart"/>
      <w:r w:rsidRPr="006D649E">
        <w:rPr>
          <w:b/>
          <w:bCs/>
        </w:rPr>
        <w:t>contract_end</w:t>
      </w:r>
      <w:proofErr w:type="spellEnd"/>
    </w:p>
    <w:p w14:paraId="0B906145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  </w:t>
      </w:r>
      <w:proofErr w:type="spellStart"/>
      <w:r w:rsidRPr="006D649E">
        <w:rPr>
          <w:b/>
          <w:bCs/>
        </w:rPr>
        <w:t>enabled_modules</w:t>
      </w:r>
      <w:proofErr w:type="spellEnd"/>
      <w:r w:rsidRPr="006D649E">
        <w:rPr>
          <w:b/>
          <w:bCs/>
        </w:rPr>
        <w:t xml:space="preserve">      -- </w:t>
      </w:r>
      <w:proofErr w:type="spellStart"/>
      <w:r w:rsidRPr="006D649E">
        <w:rPr>
          <w:b/>
          <w:bCs/>
        </w:rPr>
        <w:t>pwin</w:t>
      </w:r>
      <w:proofErr w:type="spellEnd"/>
      <w:r w:rsidRPr="006D649E">
        <w:rPr>
          <w:b/>
          <w:bCs/>
        </w:rPr>
        <w:t xml:space="preserve"> | portfolio | staffing | sandbox | alerts</w:t>
      </w:r>
    </w:p>
    <w:p w14:paraId="3CF0490B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  </w:t>
      </w:r>
      <w:proofErr w:type="spellStart"/>
      <w:r w:rsidRPr="006D649E">
        <w:rPr>
          <w:b/>
          <w:bCs/>
        </w:rPr>
        <w:t>seat_limit</w:t>
      </w:r>
      <w:proofErr w:type="spellEnd"/>
    </w:p>
    <w:p w14:paraId="692EEE94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lastRenderedPageBreak/>
        <w:t xml:space="preserve">  </w:t>
      </w:r>
      <w:proofErr w:type="spellStart"/>
      <w:r w:rsidRPr="006D649E">
        <w:rPr>
          <w:b/>
          <w:bCs/>
        </w:rPr>
        <w:t>grace_period_days</w:t>
      </w:r>
      <w:proofErr w:type="spellEnd"/>
      <w:r w:rsidRPr="006D649E">
        <w:rPr>
          <w:b/>
          <w:bCs/>
        </w:rPr>
        <w:t xml:space="preserve">    -- currently 7</w:t>
      </w:r>
    </w:p>
    <w:p w14:paraId="48839DD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Enforced in the application at request time. The existing Lambda plus SSM contract-end checker ports directly, or the dates move into this table.</w:t>
      </w:r>
    </w:p>
    <w:p w14:paraId="7C4A7D5E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Keep licensing and access control separate. An expired license degrades to read-only or a renewal notice; a scope violation returns nothing. Two different failure modes. Entangle them and an expiry bug becomes a data exposure bug.</w:t>
      </w:r>
    </w:p>
    <w:p w14:paraId="50B8778F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247B0C1A">
          <v:rect id="_x0000_i1217" style="width:0;height:1.5pt" o:hralign="center" o:hrstd="t" o:hr="t" fillcolor="#a0a0a0" stroked="f"/>
        </w:pict>
      </w:r>
    </w:p>
    <w:p w14:paraId="4FCF7EE4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7. Authentication</w:t>
      </w:r>
    </w:p>
    <w:p w14:paraId="6643D7C7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SSO wherever the client can support it. This is strongly preferred and should be the opening position.</w:t>
      </w:r>
    </w:p>
    <w:p w14:paraId="53B9DD29" w14:textId="77777777" w:rsidR="006D649E" w:rsidRPr="006D649E" w:rsidRDefault="006D649E" w:rsidP="006D649E">
      <w:pPr>
        <w:numPr>
          <w:ilvl w:val="0"/>
          <w:numId w:val="11"/>
        </w:numPr>
        <w:rPr>
          <w:b/>
          <w:bCs/>
        </w:rPr>
      </w:pPr>
      <w:r w:rsidRPr="006D649E">
        <w:rPr>
          <w:b/>
          <w:bCs/>
        </w:rPr>
        <w:t>SAML 2.0 or OIDC federation to the client's IdP (Entra ID, Okta, Ping)</w:t>
      </w:r>
    </w:p>
    <w:p w14:paraId="1C664F01" w14:textId="77777777" w:rsidR="006D649E" w:rsidRPr="006D649E" w:rsidRDefault="006D649E" w:rsidP="006D649E">
      <w:pPr>
        <w:numPr>
          <w:ilvl w:val="0"/>
          <w:numId w:val="11"/>
        </w:numPr>
        <w:rPr>
          <w:b/>
          <w:bCs/>
        </w:rPr>
      </w:pPr>
      <w:r w:rsidRPr="006D649E">
        <w:rPr>
          <w:b/>
          <w:bCs/>
        </w:rPr>
        <w:t>Their password policy, their MFA, their conditional access</w:t>
      </w:r>
    </w:p>
    <w:p w14:paraId="1BF19C6D" w14:textId="77777777" w:rsidR="006D649E" w:rsidRPr="006D649E" w:rsidRDefault="006D649E" w:rsidP="006D649E">
      <w:pPr>
        <w:numPr>
          <w:ilvl w:val="0"/>
          <w:numId w:val="11"/>
        </w:numPr>
        <w:rPr>
          <w:b/>
          <w:bCs/>
        </w:rPr>
      </w:pPr>
      <w:r w:rsidRPr="006D649E">
        <w:rPr>
          <w:b/>
          <w:bCs/>
        </w:rPr>
        <w:t>Offboarding is automatic — when their directory account dies, so does CPDE access. We never have to be told. This is the single strongest security argument in the plan.</w:t>
      </w:r>
    </w:p>
    <w:p w14:paraId="1F0ACAE1" w14:textId="77777777" w:rsidR="006D649E" w:rsidRPr="006D649E" w:rsidRDefault="006D649E" w:rsidP="006D649E">
      <w:pPr>
        <w:numPr>
          <w:ilvl w:val="0"/>
          <w:numId w:val="11"/>
        </w:numPr>
        <w:rPr>
          <w:b/>
          <w:bCs/>
        </w:rPr>
      </w:pPr>
      <w:r w:rsidRPr="006D649E">
        <w:rPr>
          <w:b/>
          <w:bCs/>
        </w:rPr>
        <w:t>Per-client IdP configuration: entity ID, certificate, metadata URL, attribute mapping. Certificates expire — track and alert.</w:t>
      </w:r>
    </w:p>
    <w:p w14:paraId="7C15E5F0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SCIM provisioning is a separate protocol and a separate effort. SSO handles login; SCIM handles account create/update/disable. Automatic offboarding technically requires SCIM. Scope them </w:t>
      </w:r>
      <w:proofErr w:type="gramStart"/>
      <w:r w:rsidRPr="006D649E">
        <w:rPr>
          <w:b/>
          <w:bCs/>
        </w:rPr>
        <w:t>as</w:t>
      </w:r>
      <w:proofErr w:type="gramEnd"/>
      <w:r w:rsidRPr="006D649E">
        <w:rPr>
          <w:b/>
          <w:bCs/>
        </w:rPr>
        <w:t xml:space="preserve"> two phases and do not promise the second while delivering the first.</w:t>
      </w:r>
    </w:p>
    <w:p w14:paraId="6F231DF9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Fallback for clients who cannot </w:t>
      </w:r>
      <w:proofErr w:type="gramStart"/>
      <w:r w:rsidRPr="006D649E">
        <w:rPr>
          <w:b/>
          <w:bCs/>
        </w:rPr>
        <w:t>federate:</w:t>
      </w:r>
      <w:proofErr w:type="gramEnd"/>
      <w:r w:rsidRPr="006D649E">
        <w:rPr>
          <w:b/>
          <w:bCs/>
        </w:rPr>
        <w:t xml:space="preserve"> managed identity provider (AWS Cognito or Auth0) — never home-grown.</w:t>
      </w:r>
    </w:p>
    <w:p w14:paraId="3141C7FA" w14:textId="77777777" w:rsidR="006D649E" w:rsidRPr="006D649E" w:rsidRDefault="006D649E" w:rsidP="006D649E">
      <w:pPr>
        <w:numPr>
          <w:ilvl w:val="0"/>
          <w:numId w:val="12"/>
        </w:numPr>
        <w:rPr>
          <w:b/>
          <w:bCs/>
        </w:rPr>
      </w:pPr>
      <w:r w:rsidRPr="006D649E">
        <w:rPr>
          <w:b/>
          <w:bCs/>
        </w:rPr>
        <w:t>MFA mandatory, no opt-out. TOTP authenticator app minimum.</w:t>
      </w:r>
    </w:p>
    <w:p w14:paraId="43A198AA" w14:textId="77777777" w:rsidR="006D649E" w:rsidRPr="006D649E" w:rsidRDefault="006D649E" w:rsidP="006D649E">
      <w:pPr>
        <w:numPr>
          <w:ilvl w:val="0"/>
          <w:numId w:val="12"/>
        </w:numPr>
        <w:rPr>
          <w:b/>
          <w:bCs/>
        </w:rPr>
      </w:pPr>
      <w:r w:rsidRPr="006D649E">
        <w:rPr>
          <w:b/>
          <w:bCs/>
        </w:rPr>
        <w:t xml:space="preserve">Not SMS. NIST deprecated SMS as an out-of-band authenticator; a </w:t>
      </w:r>
      <w:proofErr w:type="spellStart"/>
      <w:r w:rsidRPr="006D649E">
        <w:rPr>
          <w:b/>
          <w:bCs/>
        </w:rPr>
        <w:t>GovCon</w:t>
      </w:r>
      <w:proofErr w:type="spellEnd"/>
      <w:r w:rsidRPr="006D649E">
        <w:rPr>
          <w:b/>
          <w:bCs/>
        </w:rPr>
        <w:t xml:space="preserve"> security reviewer will flag it.</w:t>
      </w:r>
    </w:p>
    <w:p w14:paraId="296A793E" w14:textId="77777777" w:rsidR="006D649E" w:rsidRPr="006D649E" w:rsidRDefault="006D649E" w:rsidP="006D649E">
      <w:pPr>
        <w:numPr>
          <w:ilvl w:val="0"/>
          <w:numId w:val="12"/>
        </w:numPr>
        <w:rPr>
          <w:b/>
          <w:bCs/>
        </w:rPr>
      </w:pPr>
      <w:r w:rsidRPr="006D649E">
        <w:rPr>
          <w:b/>
          <w:bCs/>
        </w:rPr>
        <w:t>Invitation flow: admin invites → signed single-use token, short expiry → user sets password and enrolls MFA before first access</w:t>
      </w:r>
    </w:p>
    <w:p w14:paraId="74B9FDF0" w14:textId="77777777" w:rsidR="006D649E" w:rsidRPr="006D649E" w:rsidRDefault="006D649E" w:rsidP="006D649E">
      <w:pPr>
        <w:numPr>
          <w:ilvl w:val="0"/>
          <w:numId w:val="12"/>
        </w:numPr>
        <w:rPr>
          <w:b/>
          <w:bCs/>
        </w:rPr>
      </w:pPr>
      <w:r w:rsidRPr="006D649E">
        <w:rPr>
          <w:b/>
          <w:bCs/>
        </w:rPr>
        <w:t>Session timeout, re-authentication for sensitive actions, account lockout and password policy all owned by the IdP, not by us</w:t>
      </w:r>
    </w:p>
    <w:p w14:paraId="1E4FC5CB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lastRenderedPageBreak/>
        <w:t xml:space="preserve">We do not store passwords. Ever. No password column exists in the </w:t>
      </w:r>
      <w:proofErr w:type="gramStart"/>
      <w:r w:rsidRPr="006D649E">
        <w:rPr>
          <w:b/>
          <w:bCs/>
        </w:rPr>
        <w:t>schema</w:t>
      </w:r>
      <w:proofErr w:type="gramEnd"/>
      <w:r w:rsidRPr="006D649E">
        <w:rPr>
          <w:b/>
          <w:bCs/>
        </w:rPr>
        <w:t xml:space="preserve"> and none should be added. Handling credentials directly is the fastest route to failing a SOC 2 audit.</w:t>
      </w:r>
    </w:p>
    <w:p w14:paraId="7563BBE8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1F8BF646">
          <v:rect id="_x0000_i1218" style="width:0;height:1.5pt" o:hralign="center" o:hrstd="t" o:hr="t" fillcolor="#a0a0a0" stroked="f"/>
        </w:pict>
      </w:r>
    </w:p>
    <w:p w14:paraId="0E2CB835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8. What we are deliberately NOT doing yet</w:t>
      </w:r>
    </w:p>
    <w:p w14:paraId="64A385B8" w14:textId="77777777" w:rsidR="006D649E" w:rsidRPr="006D649E" w:rsidRDefault="006D649E" w:rsidP="006D649E">
      <w:pPr>
        <w:numPr>
          <w:ilvl w:val="0"/>
          <w:numId w:val="13"/>
        </w:numPr>
        <w:rPr>
          <w:b/>
          <w:bCs/>
        </w:rPr>
      </w:pPr>
      <w:r w:rsidRPr="006D649E">
        <w:rPr>
          <w:b/>
          <w:bCs/>
        </w:rPr>
        <w:t xml:space="preserve">FedRAMP. Only required if CPDE stores CUI, which today it does not — the data is the client's own internally-generated BD material. If we ingest win/loss debriefs or RFP attachments, </w:t>
      </w:r>
      <w:proofErr w:type="gramStart"/>
      <w:r w:rsidRPr="006D649E">
        <w:rPr>
          <w:b/>
          <w:bCs/>
        </w:rPr>
        <w:t>that changes and</w:t>
      </w:r>
      <w:proofErr w:type="gramEnd"/>
      <w:r w:rsidRPr="006D649E">
        <w:rPr>
          <w:b/>
          <w:bCs/>
        </w:rPr>
        <w:t xml:space="preserve"> CDA becomes a cloud service provider subject to FedRAMP Moderate or 3PAO-assessed equivalency. Running on GovCloud does not confer this on our application. Six-figure decision. Wait for a contract that requires it.</w:t>
      </w:r>
    </w:p>
    <w:p w14:paraId="704DD415" w14:textId="77777777" w:rsidR="006D649E" w:rsidRPr="006D649E" w:rsidRDefault="006D649E" w:rsidP="006D649E">
      <w:pPr>
        <w:numPr>
          <w:ilvl w:val="0"/>
          <w:numId w:val="13"/>
        </w:numPr>
        <w:rPr>
          <w:b/>
          <w:bCs/>
        </w:rPr>
      </w:pPr>
      <w:r w:rsidRPr="006D649E">
        <w:rPr>
          <w:b/>
          <w:bCs/>
        </w:rPr>
        <w:t>GovCloud. Follows the same trigger.</w:t>
      </w:r>
    </w:p>
    <w:p w14:paraId="74CE2D93" w14:textId="77777777" w:rsidR="006D649E" w:rsidRPr="006D649E" w:rsidRDefault="006D649E" w:rsidP="006D649E">
      <w:pPr>
        <w:numPr>
          <w:ilvl w:val="0"/>
          <w:numId w:val="13"/>
        </w:numPr>
        <w:rPr>
          <w:b/>
          <w:bCs/>
        </w:rPr>
      </w:pPr>
      <w:r w:rsidRPr="006D649E">
        <w:rPr>
          <w:b/>
          <w:bCs/>
        </w:rPr>
        <w:t>Client-hosted deployment. Kills our release cadence. Priced accordingly if a client insists.</w:t>
      </w:r>
    </w:p>
    <w:p w14:paraId="24B75BA9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Design consequence we accept now: documents (debriefs, RFPs) go to object storage with a document table holding metadata and a classification tag — never as database blobs. That is what makes a future CUI enclave </w:t>
      </w:r>
      <w:proofErr w:type="gramStart"/>
      <w:r w:rsidRPr="006D649E">
        <w:rPr>
          <w:b/>
          <w:bCs/>
        </w:rPr>
        <w:t>a migration</w:t>
      </w:r>
      <w:proofErr w:type="gramEnd"/>
      <w:r w:rsidRPr="006D649E">
        <w:rPr>
          <w:b/>
          <w:bCs/>
        </w:rPr>
        <w:t xml:space="preserve"> rather than </w:t>
      </w:r>
      <w:proofErr w:type="gramStart"/>
      <w:r w:rsidRPr="006D649E">
        <w:rPr>
          <w:b/>
          <w:bCs/>
        </w:rPr>
        <w:t>a rewrite</w:t>
      </w:r>
      <w:proofErr w:type="gramEnd"/>
      <w:r w:rsidRPr="006D649E">
        <w:rPr>
          <w:b/>
          <w:bCs/>
        </w:rPr>
        <w:t>.</w:t>
      </w:r>
    </w:p>
    <w:p w14:paraId="29443498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57739114">
          <v:rect id="_x0000_i1219" style="width:0;height:1.5pt" o:hralign="center" o:hrstd="t" o:hr="t" fillcolor="#a0a0a0" stroked="f"/>
        </w:pict>
      </w:r>
    </w:p>
    <w:p w14:paraId="38A268A9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9. Sequence</w:t>
      </w:r>
    </w:p>
    <w:p w14:paraId="4995F323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Phase 1 — before first client RLS with FORCE and a non-owning application role, per-transaction tenant context, cross-tenant CI test, audit logging to a separate account, SSO via managed IdP, MFA on the fallback path, admin delegation, domain verification with exceptions, tested export-and-delete runbook.</w:t>
      </w:r>
    </w:p>
    <w:p w14:paraId="189D5418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Phase 2 — first paying enterprise client SOC 2 Type II readiness and audit. Formal IR plan. </w:t>
      </w:r>
      <w:proofErr w:type="gramStart"/>
      <w:r w:rsidRPr="006D649E">
        <w:rPr>
          <w:b/>
          <w:bCs/>
        </w:rPr>
        <w:t>Backup</w:t>
      </w:r>
      <w:proofErr w:type="gramEnd"/>
      <w:r w:rsidRPr="006D649E">
        <w:rPr>
          <w:b/>
          <w:bCs/>
        </w:rPr>
        <w:t xml:space="preserve"> restore testing. Vulnerability management SLA. Vendor security questionnaire responses.</w:t>
      </w:r>
    </w:p>
    <w:p w14:paraId="66AFD00B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>Phase 3 — contract-driven SCIM. CMMC L2 if flowed down. FedRAMP only if we hold CUI.</w:t>
      </w:r>
    </w:p>
    <w:p w14:paraId="01CD2019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07918835">
          <v:rect id="_x0000_i1220" style="width:0;height:1.5pt" o:hralign="center" o:hrstd="t" o:hr="t" fillcolor="#a0a0a0" stroked="f"/>
        </w:pict>
      </w:r>
    </w:p>
    <w:p w14:paraId="35551A5A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t xml:space="preserve">10. Open questions for </w:t>
      </w:r>
      <w:proofErr w:type="gramStart"/>
      <w:r w:rsidRPr="006D649E">
        <w:rPr>
          <w:b/>
          <w:bCs/>
        </w:rPr>
        <w:t>the discussion</w:t>
      </w:r>
      <w:proofErr w:type="gramEnd"/>
    </w:p>
    <w:p w14:paraId="1CE0BC2D" w14:textId="77777777" w:rsidR="006D649E" w:rsidRPr="006D649E" w:rsidRDefault="006D649E" w:rsidP="006D649E">
      <w:pPr>
        <w:numPr>
          <w:ilvl w:val="0"/>
          <w:numId w:val="14"/>
        </w:numPr>
        <w:rPr>
          <w:b/>
          <w:bCs/>
        </w:rPr>
      </w:pPr>
      <w:r w:rsidRPr="006D649E">
        <w:rPr>
          <w:b/>
          <w:bCs/>
        </w:rPr>
        <w:lastRenderedPageBreak/>
        <w:t>Do clients want to manage CPDE roles from their own directory groups, or manage them inside CPDE with SSO only for authentication? Enterprise IT usually wants the first; it is more work for us and less for them.</w:t>
      </w:r>
    </w:p>
    <w:p w14:paraId="749FCDC8" w14:textId="77777777" w:rsidR="006D649E" w:rsidRPr="006D649E" w:rsidRDefault="006D649E" w:rsidP="006D649E">
      <w:pPr>
        <w:numPr>
          <w:ilvl w:val="0"/>
          <w:numId w:val="14"/>
        </w:numPr>
        <w:rPr>
          <w:b/>
          <w:bCs/>
        </w:rPr>
      </w:pPr>
      <w:r w:rsidRPr="006D649E">
        <w:rPr>
          <w:b/>
          <w:bCs/>
        </w:rPr>
        <w:t>Will any target client refuse a shared database, regardless of RLS? Some enterprise security teams have a hard rule. Determines whether dedicated tenancy is theoretical or immediate — and it is a price conversation, not an architecture one, because the migration path is already open.</w:t>
      </w:r>
    </w:p>
    <w:p w14:paraId="31A65DC7" w14:textId="77777777" w:rsidR="006D649E" w:rsidRPr="006D649E" w:rsidRDefault="006D649E" w:rsidP="006D649E">
      <w:pPr>
        <w:numPr>
          <w:ilvl w:val="0"/>
          <w:numId w:val="14"/>
        </w:numPr>
        <w:rPr>
          <w:b/>
          <w:bCs/>
        </w:rPr>
      </w:pPr>
      <w:r w:rsidRPr="006D649E">
        <w:rPr>
          <w:b/>
          <w:bCs/>
        </w:rPr>
        <w:t>Who at CDA holds the security role? SOC 2 requires a named owner for access reviews, incident response and vendor management. With two people this is a real constraint, not a formality.</w:t>
      </w:r>
    </w:p>
    <w:p w14:paraId="56687954" w14:textId="77777777" w:rsidR="006D649E" w:rsidRPr="006D649E" w:rsidRDefault="006D649E" w:rsidP="006D649E">
      <w:pPr>
        <w:numPr>
          <w:ilvl w:val="0"/>
          <w:numId w:val="14"/>
        </w:numPr>
        <w:rPr>
          <w:b/>
          <w:bCs/>
        </w:rPr>
      </w:pPr>
      <w:r w:rsidRPr="006D649E">
        <w:rPr>
          <w:b/>
          <w:bCs/>
        </w:rPr>
        <w:t xml:space="preserve">Do we commit to a published SLA? Enterprise contracts will ask. Availability targets carry architecture </w:t>
      </w:r>
      <w:proofErr w:type="gramStart"/>
      <w:r w:rsidRPr="006D649E">
        <w:rPr>
          <w:b/>
          <w:bCs/>
        </w:rPr>
        <w:t>cost</w:t>
      </w:r>
      <w:proofErr w:type="gramEnd"/>
      <w:r w:rsidRPr="006D649E">
        <w:rPr>
          <w:b/>
          <w:bCs/>
        </w:rPr>
        <w:t>.</w:t>
      </w:r>
    </w:p>
    <w:p w14:paraId="010363C9" w14:textId="77777777" w:rsidR="006D649E" w:rsidRPr="006D649E" w:rsidRDefault="006D649E" w:rsidP="006D649E">
      <w:pPr>
        <w:numPr>
          <w:ilvl w:val="0"/>
          <w:numId w:val="14"/>
        </w:numPr>
        <w:rPr>
          <w:b/>
          <w:bCs/>
        </w:rPr>
      </w:pPr>
      <w:r w:rsidRPr="006D649E">
        <w:rPr>
          <w:b/>
          <w:bCs/>
        </w:rPr>
        <w:t xml:space="preserve">Unified API vendor for CRM import — direction agreed. The vendor becomes a </w:t>
      </w:r>
      <w:proofErr w:type="spellStart"/>
      <w:r w:rsidRPr="006D649E">
        <w:rPr>
          <w:b/>
          <w:bCs/>
        </w:rPr>
        <w:t>subprocessor</w:t>
      </w:r>
      <w:proofErr w:type="spellEnd"/>
      <w:r w:rsidRPr="006D649E">
        <w:rPr>
          <w:b/>
          <w:bCs/>
        </w:rPr>
        <w:t xml:space="preserve"> holding client pipeline data, so check SOC 2 and FedRAMP status before standardizing on one. Define our own internal opportunity schema and have the vendor populate it, so swapping later is one adapter rather than a rewrite. Note most unified API vendors have no GovCloud presence — another reason </w:t>
      </w:r>
      <w:proofErr w:type="gramStart"/>
      <w:r w:rsidRPr="006D649E">
        <w:rPr>
          <w:b/>
          <w:bCs/>
        </w:rPr>
        <w:t>commercial</w:t>
      </w:r>
      <w:proofErr w:type="gramEnd"/>
      <w:r w:rsidRPr="006D649E">
        <w:rPr>
          <w:b/>
          <w:bCs/>
        </w:rPr>
        <w:t xml:space="preserve"> AWS is the right base.</w:t>
      </w:r>
    </w:p>
    <w:p w14:paraId="7A17C871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</w:rPr>
        <w:pict w14:anchorId="752307DB">
          <v:rect id="_x0000_i1221" style="width:0;height:1.5pt" o:hralign="center" o:hrstd="t" o:hr="t" fillcolor="#a0a0a0" stroked="f"/>
        </w:pict>
      </w:r>
    </w:p>
    <w:p w14:paraId="7D71A09E" w14:textId="77777777" w:rsidR="006D649E" w:rsidRPr="006D649E" w:rsidRDefault="006D649E" w:rsidP="006D649E">
      <w:pPr>
        <w:rPr>
          <w:b/>
          <w:bCs/>
        </w:rPr>
      </w:pPr>
      <w:r w:rsidRPr="006D649E">
        <w:rPr>
          <w:b/>
          <w:bCs/>
          <w:i/>
          <w:iCs/>
        </w:rPr>
        <w:t>This plan reflects design intent, not implemented state. Nothing in sections 2–7 is built today; the schema supports it and the decisions are made. I am not a security assessor — an hour with a C3PAO or a SOC 2 auditor before committing architecture is worth the cost.</w:t>
      </w:r>
    </w:p>
    <w:p w14:paraId="044F6E83" w14:textId="77777777" w:rsidR="00037546" w:rsidRDefault="00037546"/>
    <w:sectPr w:rsidR="00037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59F"/>
    <w:multiLevelType w:val="multilevel"/>
    <w:tmpl w:val="B70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53240"/>
    <w:multiLevelType w:val="multilevel"/>
    <w:tmpl w:val="E4B8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33F6C"/>
    <w:multiLevelType w:val="multilevel"/>
    <w:tmpl w:val="C3A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C6DFF"/>
    <w:multiLevelType w:val="multilevel"/>
    <w:tmpl w:val="251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C4ED2"/>
    <w:multiLevelType w:val="multilevel"/>
    <w:tmpl w:val="25F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340C1"/>
    <w:multiLevelType w:val="multilevel"/>
    <w:tmpl w:val="D9F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71C5C"/>
    <w:multiLevelType w:val="multilevel"/>
    <w:tmpl w:val="547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D6380"/>
    <w:multiLevelType w:val="multilevel"/>
    <w:tmpl w:val="076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73246"/>
    <w:multiLevelType w:val="multilevel"/>
    <w:tmpl w:val="DDE0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36797"/>
    <w:multiLevelType w:val="multilevel"/>
    <w:tmpl w:val="B03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D0F"/>
    <w:multiLevelType w:val="multilevel"/>
    <w:tmpl w:val="A0B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95193"/>
    <w:multiLevelType w:val="multilevel"/>
    <w:tmpl w:val="7894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D082E"/>
    <w:multiLevelType w:val="multilevel"/>
    <w:tmpl w:val="F9AA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A2121"/>
    <w:multiLevelType w:val="multilevel"/>
    <w:tmpl w:val="476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419461">
    <w:abstractNumId w:val="3"/>
  </w:num>
  <w:num w:numId="2" w16cid:durableId="195390661">
    <w:abstractNumId w:val="1"/>
  </w:num>
  <w:num w:numId="3" w16cid:durableId="992560027">
    <w:abstractNumId w:val="5"/>
  </w:num>
  <w:num w:numId="4" w16cid:durableId="1271090229">
    <w:abstractNumId w:val="7"/>
  </w:num>
  <w:num w:numId="5" w16cid:durableId="1560440990">
    <w:abstractNumId w:val="10"/>
  </w:num>
  <w:num w:numId="6" w16cid:durableId="641428826">
    <w:abstractNumId w:val="2"/>
  </w:num>
  <w:num w:numId="7" w16cid:durableId="1099639594">
    <w:abstractNumId w:val="8"/>
  </w:num>
  <w:num w:numId="8" w16cid:durableId="1125008551">
    <w:abstractNumId w:val="4"/>
  </w:num>
  <w:num w:numId="9" w16cid:durableId="747120777">
    <w:abstractNumId w:val="12"/>
  </w:num>
  <w:num w:numId="10" w16cid:durableId="959649231">
    <w:abstractNumId w:val="9"/>
  </w:num>
  <w:num w:numId="11" w16cid:durableId="1939293831">
    <w:abstractNumId w:val="6"/>
  </w:num>
  <w:num w:numId="12" w16cid:durableId="1577395088">
    <w:abstractNumId w:val="13"/>
  </w:num>
  <w:num w:numId="13" w16cid:durableId="483400257">
    <w:abstractNumId w:val="0"/>
  </w:num>
  <w:num w:numId="14" w16cid:durableId="674648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6B"/>
    <w:rsid w:val="00037546"/>
    <w:rsid w:val="000E3500"/>
    <w:rsid w:val="00450610"/>
    <w:rsid w:val="006D649E"/>
    <w:rsid w:val="008F72DD"/>
    <w:rsid w:val="00EC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8398"/>
  <w15:chartTrackingRefBased/>
  <w15:docId w15:val="{8683E9A5-9EFB-496A-9486-4E8CE842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2308</Words>
  <Characters>12394</Characters>
  <Application>Microsoft Office Word</Application>
  <DocSecurity>0</DocSecurity>
  <Lines>309</Lines>
  <Paragraphs>204</Paragraphs>
  <ScaleCrop>false</ScaleCrop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Hachat</dc:creator>
  <cp:keywords/>
  <dc:description/>
  <cp:lastModifiedBy>Leon Hachat</cp:lastModifiedBy>
  <cp:revision>3</cp:revision>
  <dcterms:created xsi:type="dcterms:W3CDTF">2026-08-25T19:57:00Z</dcterms:created>
  <dcterms:modified xsi:type="dcterms:W3CDTF">2026-08-25T20:17:00Z</dcterms:modified>
</cp:coreProperties>
</file>