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Assignments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related assignments will be on the Wide World Importers Database unless otherwise mentioned.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of Persons’ full name, all their fax and phone numbers, as well as</w:t>
      </w:r>
      <w:r w:rsidDel="00000000" w:rsidR="00000000" w:rsidRPr="00000000">
        <w:rPr>
          <w:rFonts w:ascii="Times New Roman" w:cs="Times New Roman" w:eastAsia="Times New Roman" w:hAnsi="Times New Roman"/>
          <w:sz w:val="24"/>
          <w:szCs w:val="24"/>
          <w:rtl w:val="0"/>
        </w:rPr>
        <w:t xml:space="preserve"> the phone number and fax of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company they are working for (if any).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486400" cy="24003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customer's primary contact person has the same phone number as the customer’s phone number, list the customer companies. </w:t>
      </w:r>
      <w:r w:rsidDel="00000000" w:rsidR="00000000" w:rsidRPr="00000000">
        <w:rPr>
          <w:rFonts w:ascii="Times New Roman" w:cs="Times New Roman" w:eastAsia="Times New Roman" w:hAnsi="Times New Roman"/>
          <w:sz w:val="24"/>
          <w:szCs w:val="24"/>
        </w:rPr>
        <w:drawing>
          <wp:inline distB="114300" distT="114300" distL="114300" distR="114300">
            <wp:extent cx="7369796" cy="2827648"/>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369796" cy="28276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customers to whom we made a sale prior to 2016 but no sale since 2016-01-01.</w:t>
      </w:r>
      <w:r w:rsidDel="00000000" w:rsidR="00000000" w:rsidRPr="00000000">
        <w:rPr>
          <w:rFonts w:ascii="Times New Roman" w:cs="Times New Roman" w:eastAsia="Times New Roman" w:hAnsi="Times New Roman"/>
          <w:sz w:val="24"/>
          <w:szCs w:val="24"/>
        </w:rPr>
        <w:drawing>
          <wp:inline distB="114300" distT="114300" distL="114300" distR="114300">
            <wp:extent cx="8897027" cy="3274600"/>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8897027" cy="3274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of Stock Items and total quantity for each stock item in Purchase Orders in Year 2013.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7729071" cy="2697124"/>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7729071" cy="269712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stock items that have at least 10 characters in description.</w:t>
      </w:r>
      <w:r w:rsidDel="00000000" w:rsidR="00000000" w:rsidRPr="00000000">
        <w:rPr>
          <w:rFonts w:ascii="Times New Roman" w:cs="Times New Roman" w:eastAsia="Times New Roman" w:hAnsi="Times New Roman"/>
          <w:sz w:val="24"/>
          <w:szCs w:val="24"/>
        </w:rPr>
        <w:drawing>
          <wp:inline distB="114300" distT="114300" distL="114300" distR="114300">
            <wp:extent cx="9358313" cy="3298155"/>
            <wp:effectExtent b="0" l="0" r="0" t="0"/>
            <wp:docPr id="24"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9358313" cy="32981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of stock items that are not sold to the state of Alabama and Georgia in 2014.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486400" cy="1371600"/>
            <wp:effectExtent b="0" l="0" r="0" t="0"/>
            <wp:docPr id="1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486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of States and Avg dates for processing (confirmed delivery date – order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9665347" cy="3372803"/>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9665347" cy="33728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of States and Avg dates for processing (confirmed delivery date – order date) by month.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10596755" cy="3753017"/>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0596755" cy="37530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StockItems that the company purchased more than sold in the year of 2015.</w:t>
      </w:r>
      <w:r w:rsidDel="00000000" w:rsidR="00000000" w:rsidRPr="00000000">
        <w:rPr>
          <w:rFonts w:ascii="Times New Roman" w:cs="Times New Roman" w:eastAsia="Times New Roman" w:hAnsi="Times New Roman"/>
          <w:sz w:val="24"/>
          <w:szCs w:val="24"/>
        </w:rPr>
        <w:drawing>
          <wp:inline distB="114300" distT="114300" distL="114300" distR="114300">
            <wp:extent cx="5476875" cy="1952625"/>
            <wp:effectExtent b="0" l="0" r="0" t="0"/>
            <wp:docPr id="28"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4768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Customers and their phone number, together with the primary contact person’s name, to whom we did not sell more than 10  mugs (search by name) in the year 2016.</w:t>
      </w:r>
      <w:r w:rsidDel="00000000" w:rsidR="00000000" w:rsidRPr="00000000">
        <w:rPr>
          <w:rFonts w:ascii="Times New Roman" w:cs="Times New Roman" w:eastAsia="Times New Roman" w:hAnsi="Times New Roman"/>
          <w:sz w:val="24"/>
          <w:szCs w:val="24"/>
        </w:rPr>
        <w:drawing>
          <wp:inline distB="114300" distT="114300" distL="114300" distR="114300">
            <wp:extent cx="9863124" cy="3444630"/>
            <wp:effectExtent b="0" l="0" r="0" t="0"/>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9863124" cy="34446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the cities that were updated after 2015-01-01.</w:t>
      </w:r>
      <w:r w:rsidDel="00000000" w:rsidR="00000000" w:rsidRPr="00000000">
        <w:rPr>
          <w:rFonts w:ascii="Times New Roman" w:cs="Times New Roman" w:eastAsia="Times New Roman" w:hAnsi="Times New Roman"/>
          <w:sz w:val="24"/>
          <w:szCs w:val="24"/>
        </w:rPr>
        <w:drawing>
          <wp:inline distB="114300" distT="114300" distL="114300" distR="114300">
            <wp:extent cx="9672638" cy="3425726"/>
            <wp:effectExtent b="0" l="0" r="0" t="0"/>
            <wp:docPr id="22"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9672638" cy="34257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the Order Detail (Stock Item name, delivery address, delivery state, city, country, customer name, customer contact person name, customer phone, quantity) for the date of 2014-07-01. Info should be relevant to that date.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(partially truncated - see uploaded images for full view)</w:t>
      </w:r>
      <w:r w:rsidDel="00000000" w:rsidR="00000000" w:rsidRPr="00000000">
        <w:rPr>
          <w:rFonts w:ascii="Times New Roman" w:cs="Times New Roman" w:eastAsia="Times New Roman" w:hAnsi="Times New Roman"/>
          <w:sz w:val="24"/>
          <w:szCs w:val="24"/>
        </w:rPr>
        <w:drawing>
          <wp:inline distB="114300" distT="114300" distL="114300" distR="114300">
            <wp:extent cx="8625521" cy="2262149"/>
            <wp:effectExtent b="0" l="0" r="0" t="0"/>
            <wp:docPr id="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8625521" cy="226214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stock item groups and total quantity purchased, total quantity sold, and the remaining stock quantity (quantity purchased – quantity sold)</w:t>
      </w:r>
      <w:r w:rsidDel="00000000" w:rsidR="00000000" w:rsidRPr="00000000">
        <w:rPr>
          <w:rFonts w:ascii="Times New Roman" w:cs="Times New Roman" w:eastAsia="Times New Roman" w:hAnsi="Times New Roman"/>
          <w:sz w:val="24"/>
          <w:szCs w:val="24"/>
        </w:rPr>
        <w:drawing>
          <wp:inline distB="114300" distT="114300" distL="114300" distR="114300">
            <wp:extent cx="5486400" cy="1943100"/>
            <wp:effectExtent b="0" l="0" r="0" t="0"/>
            <wp:docPr id="32"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486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Cities in the US and the stock item that the city got the most deliveries in 2016. If the city did not purchase any stock items in 2016, print “No Sales”.</w:t>
      </w:r>
      <w:r w:rsidDel="00000000" w:rsidR="00000000" w:rsidRPr="00000000">
        <w:rPr>
          <w:rtl w:val="0"/>
        </w:rPr>
      </w:r>
    </w:p>
    <w:p w:rsidR="00000000" w:rsidDel="00000000" w:rsidP="00000000" w:rsidRDefault="00000000" w:rsidRPr="00000000" w14:paraId="00000013">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any orders that had more than one delivery attempt (located in invoice table).</w:t>
      </w:r>
      <w:r w:rsidDel="00000000" w:rsidR="00000000" w:rsidRPr="00000000">
        <w:rPr>
          <w:rFonts w:ascii="Times New Roman" w:cs="Times New Roman" w:eastAsia="Times New Roman" w:hAnsi="Times New Roman"/>
          <w:sz w:val="24"/>
          <w:szCs w:val="24"/>
        </w:rPr>
        <w:drawing>
          <wp:inline distB="114300" distT="114300" distL="114300" distR="114300">
            <wp:extent cx="10434638" cy="2826048"/>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0434638" cy="282604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stock items that are manufactured in China. (Country of Manufacture)</w:t>
      </w:r>
      <w:r w:rsidDel="00000000" w:rsidR="00000000" w:rsidRPr="00000000">
        <w:rPr>
          <w:rFonts w:ascii="Times New Roman" w:cs="Times New Roman" w:eastAsia="Times New Roman" w:hAnsi="Times New Roman"/>
          <w:sz w:val="24"/>
          <w:szCs w:val="24"/>
        </w:rPr>
        <w:drawing>
          <wp:inline distB="114300" distT="114300" distL="114300" distR="114300">
            <wp:extent cx="10920413" cy="2903995"/>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0920413" cy="29039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quantity of stock items sold in 2015, group by country of manufacturing.</w:t>
      </w:r>
      <w:r w:rsidDel="00000000" w:rsidR="00000000" w:rsidRPr="00000000">
        <w:rPr>
          <w:rFonts w:ascii="Times New Roman" w:cs="Times New Roman" w:eastAsia="Times New Roman" w:hAnsi="Times New Roman"/>
          <w:sz w:val="24"/>
          <w:szCs w:val="24"/>
        </w:rPr>
        <w:drawing>
          <wp:inline distB="114300" distT="114300" distL="114300" distR="114300">
            <wp:extent cx="10277828" cy="2694361"/>
            <wp:effectExtent b="0" l="0" r="0" t="0"/>
            <wp:docPr id="2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0277828" cy="269436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view that shows the total quantity of stock items of each stock group sold (in orders) by year 2013-2017. [Stock Group Name, 2013, 2014, 2015, 2016, 2017]</w:t>
      </w:r>
      <w:r w:rsidDel="00000000" w:rsidR="00000000" w:rsidRPr="00000000">
        <w:rPr>
          <w:rFonts w:ascii="Times New Roman" w:cs="Times New Roman" w:eastAsia="Times New Roman" w:hAnsi="Times New Roman"/>
          <w:sz w:val="24"/>
          <w:szCs w:val="24"/>
        </w:rPr>
        <w:drawing>
          <wp:inline distB="114300" distT="114300" distL="114300" distR="114300">
            <wp:extent cx="8929688" cy="2369462"/>
            <wp:effectExtent b="0" l="0" r="0" t="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8929688" cy="23694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view that shows the total quantity of stock items of each stock group sold (in orders) by year 2013-2017. [Year, Stock Group Name1, Stock Group Name2, Stock Group Name3, … , Stock Group Name10] </w:t>
      </w:r>
      <w:r w:rsidDel="00000000" w:rsidR="00000000" w:rsidRPr="00000000">
        <w:rPr>
          <w:rFonts w:ascii="Times New Roman" w:cs="Times New Roman" w:eastAsia="Times New Roman" w:hAnsi="Times New Roman"/>
          <w:sz w:val="24"/>
          <w:szCs w:val="24"/>
        </w:rPr>
        <w:drawing>
          <wp:inline distB="114300" distT="114300" distL="114300" distR="114300">
            <wp:extent cx="6777038" cy="1779903"/>
            <wp:effectExtent b="0" l="0" r="0" t="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777038" cy="177990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input: order id; return: total of that order. List invoices and use that function to attach the order total to the other fields of invoices. </w:t>
      </w:r>
      <w:r w:rsidDel="00000000" w:rsidR="00000000" w:rsidRPr="00000000">
        <w:rPr>
          <w:rtl w:val="0"/>
        </w:rPr>
      </w:r>
    </w:p>
    <w:p w:rsidR="00000000" w:rsidDel="00000000" w:rsidP="00000000" w:rsidRDefault="00000000" w:rsidRPr="00000000" w14:paraId="0000001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89663" cy="2619542"/>
            <wp:effectExtent b="0" l="0" r="0" t="0"/>
            <wp:docPr id="27"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9489663" cy="261954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table called ods.Orders.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r w:rsidDel="00000000" w:rsidR="00000000" w:rsidRPr="00000000">
        <w:rPr>
          <w:rFonts w:ascii="Times New Roman" w:cs="Times New Roman" w:eastAsia="Times New Roman" w:hAnsi="Times New Roman"/>
          <w:sz w:val="24"/>
          <w:szCs w:val="24"/>
        </w:rPr>
        <w:drawing>
          <wp:inline distB="114300" distT="114300" distL="114300" distR="114300">
            <wp:extent cx="10587854" cy="2775635"/>
            <wp:effectExtent b="0" l="0" r="0" t="0"/>
            <wp:docPr id="3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10587854" cy="27756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table called ods.StockItem. It has following columns: [StockItemID], [StockItemName] ,[SupplierID] ,[ColorID] ,[UnitPackageID] ,[OuterPackageID] ,[Brand] ,[Size] ,[LeadTimeDays] ,[QuantityPerOuter] ,[IsChillerStock] ,[Barcode] ,[TaxRate]  ,[UnitPrice],[RecommendedRetailPrice] ,[TypicalWeightPerUnit] ,[MarketingComments]  ,[InternalComments], [CountryOfManufacture], [Range], [Shelflife]. Migrate all the data in the original stock item table.</w:t>
      </w:r>
      <w:r w:rsidDel="00000000" w:rsidR="00000000" w:rsidRPr="00000000">
        <w:rPr>
          <w:rFonts w:ascii="Times New Roman" w:cs="Times New Roman" w:eastAsia="Times New Roman" w:hAnsi="Times New Roman"/>
          <w:sz w:val="24"/>
          <w:szCs w:val="24"/>
        </w:rPr>
        <w:drawing>
          <wp:inline distB="114300" distT="114300" distL="114300" distR="114300">
            <wp:extent cx="6680863" cy="1815894"/>
            <wp:effectExtent b="0" l="0" r="0" t="0"/>
            <wp:docPr id="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6680863" cy="181589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your stored procedure in (21). Now with a given date, it should wipe out all the order data prior to the input date and load the order data that was placed in the next 7 days following the input date.</w:t>
      </w:r>
      <w:r w:rsidDel="00000000" w:rsidR="00000000" w:rsidRPr="00000000">
        <w:rPr>
          <w:rFonts w:ascii="Times New Roman" w:cs="Times New Roman" w:eastAsia="Times New Roman" w:hAnsi="Times New Roman"/>
          <w:sz w:val="24"/>
          <w:szCs w:val="24"/>
        </w:rPr>
        <w:drawing>
          <wp:inline distB="114300" distT="114300" distL="114300" distR="114300">
            <wp:extent cx="9729788" cy="2483123"/>
            <wp:effectExtent b="0" l="0" r="0" t="0"/>
            <wp:docPr id="20"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9729788" cy="248312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JSON file:</w:t>
      </w:r>
      <w:r w:rsidDel="00000000" w:rsidR="00000000" w:rsidRPr="00000000">
        <w:rPr>
          <w:rtl w:val="0"/>
        </w:rPr>
      </w:r>
    </w:p>
    <w:p w:rsidR="00000000" w:rsidDel="00000000" w:rsidP="00000000" w:rsidRDefault="00000000" w:rsidRPr="00000000" w14:paraId="00000021">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"PurchaseOrders":[</w:t>
      </w:r>
    </w:p>
    <w:p w:rsidR="00000000" w:rsidDel="00000000" w:rsidP="00000000" w:rsidRDefault="00000000" w:rsidRPr="00000000" w14:paraId="0000002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"StockItemName":"Panzer Video Game",</w:t>
      </w:r>
    </w:p>
    <w:p w:rsidR="00000000" w:rsidDel="00000000" w:rsidP="00000000" w:rsidRDefault="00000000" w:rsidRPr="00000000" w14:paraId="0000002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"Supplier":"7",</w:t>
      </w:r>
    </w:p>
    <w:p w:rsidR="00000000" w:rsidDel="00000000" w:rsidP="00000000" w:rsidRDefault="00000000" w:rsidRPr="00000000" w14:paraId="0000002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"UnitPackageId":"1",</w:t>
      </w:r>
    </w:p>
    <w:p w:rsidR="00000000" w:rsidDel="00000000" w:rsidP="00000000" w:rsidRDefault="00000000" w:rsidRPr="00000000" w14:paraId="0000002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"OuterPackageId":[</w:t>
      </w:r>
    </w:p>
    <w:p w:rsidR="00000000" w:rsidDel="00000000" w:rsidP="00000000" w:rsidRDefault="00000000" w:rsidRPr="00000000" w14:paraId="0000002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2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2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"Brand":"EA Sports",</w:t>
      </w:r>
    </w:p>
    <w:p w:rsidR="00000000" w:rsidDel="00000000" w:rsidP="00000000" w:rsidRDefault="00000000" w:rsidRPr="00000000" w14:paraId="0000002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"LeadTimeDays":"5",</w:t>
      </w:r>
    </w:p>
    <w:p w:rsidR="00000000" w:rsidDel="00000000" w:rsidP="00000000" w:rsidRDefault="00000000" w:rsidRPr="00000000" w14:paraId="0000002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"QuantityPerOuter":"1",</w:t>
      </w:r>
    </w:p>
    <w:p w:rsidR="00000000" w:rsidDel="00000000" w:rsidP="00000000" w:rsidRDefault="00000000" w:rsidRPr="00000000" w14:paraId="0000002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"TaxRate":"6",</w:t>
      </w:r>
    </w:p>
    <w:p w:rsidR="00000000" w:rsidDel="00000000" w:rsidP="00000000" w:rsidRDefault="00000000" w:rsidRPr="00000000" w14:paraId="0000003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"UnitPrice":"59.99",</w:t>
      </w:r>
    </w:p>
    <w:p w:rsidR="00000000" w:rsidDel="00000000" w:rsidP="00000000" w:rsidRDefault="00000000" w:rsidRPr="00000000" w14:paraId="0000003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"RecommendedRetailPrice":"69.99",</w:t>
      </w:r>
    </w:p>
    <w:p w:rsidR="00000000" w:rsidDel="00000000" w:rsidP="00000000" w:rsidRDefault="00000000" w:rsidRPr="00000000" w14:paraId="0000003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"TypicalWeightPerUnit":"0.5",</w:t>
      </w:r>
    </w:p>
    <w:p w:rsidR="00000000" w:rsidDel="00000000" w:rsidP="00000000" w:rsidRDefault="00000000" w:rsidRPr="00000000" w14:paraId="0000003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"CountryOfManufacture":"Canada",</w:t>
      </w:r>
    </w:p>
    <w:p w:rsidR="00000000" w:rsidDel="00000000" w:rsidP="00000000" w:rsidRDefault="00000000" w:rsidRPr="00000000" w14:paraId="0000003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"Range":"Adult",</w:t>
      </w:r>
    </w:p>
    <w:p w:rsidR="00000000" w:rsidDel="00000000" w:rsidP="00000000" w:rsidRDefault="00000000" w:rsidRPr="00000000" w14:paraId="0000003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"OrderDate":"2018-01-01",</w:t>
      </w:r>
    </w:p>
    <w:p w:rsidR="00000000" w:rsidDel="00000000" w:rsidP="00000000" w:rsidRDefault="00000000" w:rsidRPr="00000000" w14:paraId="0000003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"DeliveryMethod":"Post",</w:t>
      </w:r>
    </w:p>
    <w:p w:rsidR="00000000" w:rsidDel="00000000" w:rsidP="00000000" w:rsidRDefault="00000000" w:rsidRPr="00000000" w14:paraId="0000003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"ExpectedDeliveryDate":"2018-02-02",</w:t>
      </w:r>
    </w:p>
    <w:p w:rsidR="00000000" w:rsidDel="00000000" w:rsidP="00000000" w:rsidRDefault="00000000" w:rsidRPr="00000000" w14:paraId="0000003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"SupplierReference":"WWI2308"</w:t>
      </w:r>
    </w:p>
    <w:p w:rsidR="00000000" w:rsidDel="00000000" w:rsidP="00000000" w:rsidRDefault="00000000" w:rsidRPr="00000000" w14:paraId="0000003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"StockItemName":"Panzer Video Game",</w:t>
      </w:r>
    </w:p>
    <w:p w:rsidR="00000000" w:rsidDel="00000000" w:rsidP="00000000" w:rsidRDefault="00000000" w:rsidRPr="00000000" w14:paraId="0000003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"Supplier":"5",</w:t>
      </w:r>
    </w:p>
    <w:p w:rsidR="00000000" w:rsidDel="00000000" w:rsidP="00000000" w:rsidRDefault="00000000" w:rsidRPr="00000000" w14:paraId="0000003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"UnitPackageId":"1",</w:t>
      </w:r>
    </w:p>
    <w:p w:rsidR="00000000" w:rsidDel="00000000" w:rsidP="00000000" w:rsidRDefault="00000000" w:rsidRPr="00000000" w14:paraId="0000003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"OuterPackageId":"7",</w:t>
      </w:r>
    </w:p>
    <w:p w:rsidR="00000000" w:rsidDel="00000000" w:rsidP="00000000" w:rsidRDefault="00000000" w:rsidRPr="00000000" w14:paraId="0000003F">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"Brand":"EA Sports",</w:t>
      </w:r>
    </w:p>
    <w:p w:rsidR="00000000" w:rsidDel="00000000" w:rsidP="00000000" w:rsidRDefault="00000000" w:rsidRPr="00000000" w14:paraId="00000040">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"LeadTimeDays":"5",</w:t>
      </w:r>
    </w:p>
    <w:p w:rsidR="00000000" w:rsidDel="00000000" w:rsidP="00000000" w:rsidRDefault="00000000" w:rsidRPr="00000000" w14:paraId="0000004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"QuantityPerOuter":"1",</w:t>
      </w:r>
    </w:p>
    <w:p w:rsidR="00000000" w:rsidDel="00000000" w:rsidP="00000000" w:rsidRDefault="00000000" w:rsidRPr="00000000" w14:paraId="00000042">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"TaxRate":"6",</w:t>
      </w:r>
    </w:p>
    <w:p w:rsidR="00000000" w:rsidDel="00000000" w:rsidP="00000000" w:rsidRDefault="00000000" w:rsidRPr="00000000" w14:paraId="00000043">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"UnitPrice":"59.99",</w:t>
      </w:r>
    </w:p>
    <w:p w:rsidR="00000000" w:rsidDel="00000000" w:rsidP="00000000" w:rsidRDefault="00000000" w:rsidRPr="00000000" w14:paraId="00000044">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"RecommendedRetailPrice":"69.99",</w:t>
      </w:r>
    </w:p>
    <w:p w:rsidR="00000000" w:rsidDel="00000000" w:rsidP="00000000" w:rsidRDefault="00000000" w:rsidRPr="00000000" w14:paraId="00000045">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"TypicalWeightPerUnit":"0.5",</w:t>
      </w:r>
    </w:p>
    <w:p w:rsidR="00000000" w:rsidDel="00000000" w:rsidP="00000000" w:rsidRDefault="00000000" w:rsidRPr="00000000" w14:paraId="0000004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"CountryOfManufacture":"Canada",</w:t>
      </w:r>
    </w:p>
    <w:p w:rsidR="00000000" w:rsidDel="00000000" w:rsidP="00000000" w:rsidRDefault="00000000" w:rsidRPr="00000000" w14:paraId="00000047">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"Range":"Adult",</w:t>
      </w:r>
    </w:p>
    <w:p w:rsidR="00000000" w:rsidDel="00000000" w:rsidP="00000000" w:rsidRDefault="00000000" w:rsidRPr="00000000" w14:paraId="00000048">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"OrderDate":"2018-01-025",</w:t>
      </w:r>
    </w:p>
    <w:p w:rsidR="00000000" w:rsidDel="00000000" w:rsidP="00000000" w:rsidRDefault="00000000" w:rsidRPr="00000000" w14:paraId="00000049">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"DeliveryMethod":"Post",</w:t>
      </w:r>
    </w:p>
    <w:p w:rsidR="00000000" w:rsidDel="00000000" w:rsidP="00000000" w:rsidRDefault="00000000" w:rsidRPr="00000000" w14:paraId="0000004A">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"ExpectedDeliveryDate":"2018-02-02",</w:t>
      </w:r>
    </w:p>
    <w:p w:rsidR="00000000" w:rsidDel="00000000" w:rsidP="00000000" w:rsidRDefault="00000000" w:rsidRPr="00000000" w14:paraId="0000004B">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"SupplierReference":"269622390"</w:t>
      </w:r>
    </w:p>
    <w:p w:rsidR="00000000" w:rsidDel="00000000" w:rsidP="00000000" w:rsidRDefault="00000000" w:rsidRPr="00000000" w14:paraId="0000004C">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that it is our missed purchase orders. Migrate these data into Stock Item, Purchase Order and Purchase Order Lines tables. Of course, save the script.</w:t>
      </w:r>
    </w:p>
    <w:p w:rsidR="00000000" w:rsidDel="00000000" w:rsidP="00000000" w:rsidRDefault="00000000" w:rsidRPr="00000000" w14:paraId="00000052">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 your answer in (19). Convert the result in JSON string and save it to the server using TSQL FOR JSON PATH.</w:t>
      </w:r>
      <w:r w:rsidDel="00000000" w:rsidR="00000000" w:rsidRPr="00000000">
        <w:rPr>
          <w:rFonts w:ascii="Times New Roman" w:cs="Times New Roman" w:eastAsia="Times New Roman" w:hAnsi="Times New Roman"/>
          <w:sz w:val="24"/>
          <w:szCs w:val="24"/>
        </w:rPr>
        <w:drawing>
          <wp:inline distB="114300" distT="114300" distL="114300" distR="114300">
            <wp:extent cx="13300693" cy="808202"/>
            <wp:effectExtent b="0" l="0" r="0" t="0"/>
            <wp:docPr id="25"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13300693" cy="80820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 your answer in (19). Convert the result into an XML string and save it to the server using TSQL FOR XML PATH.</w:t>
      </w:r>
      <w:r w:rsidDel="00000000" w:rsidR="00000000" w:rsidRPr="00000000">
        <w:rPr>
          <w:rFonts w:ascii="Times New Roman" w:cs="Times New Roman" w:eastAsia="Times New Roman" w:hAnsi="Times New Roman"/>
          <w:sz w:val="24"/>
          <w:szCs w:val="24"/>
        </w:rPr>
        <w:drawing>
          <wp:inline distB="114300" distT="114300" distL="114300" distR="114300">
            <wp:extent cx="11478042" cy="697450"/>
            <wp:effectExtent b="0" l="0" r="0" t="0"/>
            <wp:docPr id="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1478042" cy="6974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table called ods.ConfirmedDeviveryJson with 3 columns (id, date, value) .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r w:rsidDel="00000000" w:rsidR="00000000" w:rsidRPr="00000000">
        <w:rPr>
          <w:rtl w:val="0"/>
        </w:rPr>
      </w:r>
    </w:p>
    <w:p w:rsidR="00000000" w:rsidDel="00000000" w:rsidP="00000000" w:rsidRDefault="00000000" w:rsidRPr="00000000" w14:paraId="00000055">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essay talking about your understanding of transactions, locks and isolation levels.</w:t>
      </w:r>
      <w:r w:rsidDel="00000000" w:rsidR="00000000" w:rsidRPr="00000000">
        <w:rPr>
          <w:rtl w:val="0"/>
        </w:rPr>
      </w:r>
    </w:p>
    <w:p w:rsidR="00000000" w:rsidDel="00000000" w:rsidP="00000000" w:rsidRDefault="00000000" w:rsidRPr="00000000" w14:paraId="00000056">
      <w:pPr>
        <w:pageBreakBefore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transaction in a SQL DB must adhere to ACID (atomicity, consistency, isolation, durability). Databases can be accessed by many readers/writers at the same time and these transactions must adhere to ACID principles to ensure there are no consistency issues. Locks are a common formulation to prevent concurrent read/writes behaving unpredictably in many systems - in the context of SQL Server engine, locks allows only one transaction to access specific objects in specific ways affected by a transaction; before the lock is released, no other transactions can access these same objects in specific ways and must request that lock and wait in the meantime. Locks in SQL Server  have different modes such as exclusive, shared, and update. Transactions have an isolation level (read uncommitted, read committed, repeatable read, serializable, snapshot (note that any transaction can only be one of these states at a time)) which define how isolated one transaction is from a resource and how long a transaction can hold a lock. The choice of isolation level is often made to balance between runtime and data integrity. Shared locks for read committed or repeatable reads are generally row locks.</w:t>
      </w:r>
    </w:p>
    <w:p w:rsidR="00000000" w:rsidDel="00000000" w:rsidP="00000000" w:rsidRDefault="00000000" w:rsidRPr="00000000" w14:paraId="00000057">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essay, plus screenshots talking about performance tuning in SQL Server. Must include Tuning Advisor, Extended Events, DMV, Logs and Execution Plan.</w:t>
      </w:r>
    </w:p>
    <w:p w:rsidR="00000000" w:rsidDel="00000000" w:rsidP="00000000" w:rsidRDefault="00000000" w:rsidRPr="00000000" w14:paraId="0000005A">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Tuning Advisor assists a user in tuning databases for better performance for queries; often this is done through suggestions on modifying DB structures such as indexes, indexed views, or table partitions. In addition to a standard GUI, the Advisor features a </w:t>
      </w:r>
      <w:r w:rsidDel="00000000" w:rsidR="00000000" w:rsidRPr="00000000">
        <w:rPr>
          <w:rFonts w:ascii="Times New Roman" w:cs="Times New Roman" w:eastAsia="Times New Roman" w:hAnsi="Times New Roman"/>
          <w:b w:val="1"/>
          <w:sz w:val="24"/>
          <w:szCs w:val="24"/>
          <w:rtl w:val="0"/>
        </w:rPr>
        <w:t xml:space="preserve">dta</w:t>
      </w:r>
      <w:r w:rsidDel="00000000" w:rsidR="00000000" w:rsidRPr="00000000">
        <w:rPr>
          <w:rFonts w:ascii="Times New Roman" w:cs="Times New Roman" w:eastAsia="Times New Roman" w:hAnsi="Times New Roman"/>
          <w:sz w:val="24"/>
          <w:szCs w:val="24"/>
          <w:rtl w:val="0"/>
        </w:rPr>
        <w:t xml:space="preserve"> utility which can be used in scripts for automated tuning. Users can configure workload files, tables, or XML files as inputs when tuning and can also interface with the GUI to select specific kinds of DB structures to tune on, as seen in the picture below.</w:t>
      </w:r>
      <w:r w:rsidDel="00000000" w:rsidR="00000000" w:rsidRPr="00000000">
        <w:rPr>
          <w:rFonts w:ascii="Times New Roman" w:cs="Times New Roman" w:eastAsia="Times New Roman" w:hAnsi="Times New Roman"/>
          <w:sz w:val="24"/>
          <w:szCs w:val="24"/>
        </w:rPr>
        <w:drawing>
          <wp:inline distB="114300" distT="114300" distL="114300" distR="114300">
            <wp:extent cx="5486400" cy="2971800"/>
            <wp:effectExtent b="0" l="0" r="0" t="0"/>
            <wp:docPr descr="DTA tuning options" id="31" name="image22.png"/>
            <a:graphic>
              <a:graphicData uri="http://schemas.openxmlformats.org/drawingml/2006/picture">
                <pic:pic>
                  <pic:nvPicPr>
                    <pic:cNvPr descr="DTA tuning options" id="0" name="image22.png"/>
                    <pic:cNvPicPr preferRelativeResize="0"/>
                  </pic:nvPicPr>
                  <pic:blipFill>
                    <a:blip r:embed="rId31"/>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show project improvements based on suggested tuning - many different kinds of reports can be exported, usually formatted as XML. All of this can be seen in the below photo:</w:t>
      </w:r>
    </w:p>
    <w:p w:rsidR="00000000" w:rsidDel="00000000" w:rsidP="00000000" w:rsidRDefault="00000000" w:rsidRPr="00000000" w14:paraId="0000005C">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667000"/>
            <wp:effectExtent b="0" l="0" r="0" t="0"/>
            <wp:docPr descr="DTA report - statement cost" id="30" name="image34.png"/>
            <a:graphic>
              <a:graphicData uri="http://schemas.openxmlformats.org/drawingml/2006/picture">
                <pic:pic>
                  <pic:nvPicPr>
                    <pic:cNvPr descr="DTA report - statement cost" id="0" name="image34.png"/>
                    <pic:cNvPicPr preferRelativeResize="0"/>
                  </pic:nvPicPr>
                  <pic:blipFill>
                    <a:blip r:embed="rId32"/>
                    <a:srcRect b="0" l="0" r="0" t="0"/>
                    <a:stretch>
                      <a:fillRect/>
                    </a:stretch>
                  </pic:blipFill>
                  <pic:spPr>
                    <a:xfrm>
                      <a:off x="0" y="0"/>
                      <a:ext cx="54864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line="276"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events help users collect data to help monitor and troubleshoot problems within SQL Server, such events can be configured to focus on specific kinds of occurrences and displayed/saved in a variety of different ways for different use cases.</w:t>
      </w:r>
      <w:r w:rsidDel="00000000" w:rsidR="00000000" w:rsidRPr="00000000">
        <w:rPr>
          <w:rFonts w:ascii="Times New Roman" w:cs="Times New Roman" w:eastAsia="Times New Roman" w:hAnsi="Times New Roman"/>
          <w:sz w:val="24"/>
          <w:szCs w:val="24"/>
        </w:rPr>
        <w:drawing>
          <wp:inline distB="114300" distT="114300" distL="114300" distR="114300">
            <wp:extent cx="5486400" cy="3289300"/>
            <wp:effectExtent b="0" l="0" r="0" t="0"/>
            <wp:docPr descr="New Session &gt; Events &gt; Select &gt; Event library, Selected events" id="29" name="image30.png"/>
            <a:graphic>
              <a:graphicData uri="http://schemas.openxmlformats.org/drawingml/2006/picture">
                <pic:pic>
                  <pic:nvPicPr>
                    <pic:cNvPr descr="New Session &gt; Events &gt; Select &gt; Event library, Selected events" id="0" name="image30.png"/>
                    <pic:cNvPicPr preferRelativeResize="0"/>
                  </pic:nvPicPr>
                  <pic:blipFill>
                    <a:blip r:embed="rId33"/>
                    <a:srcRect b="0" l="0" r="0" t="0"/>
                    <a:stretch>
                      <a:fillRect/>
                    </a:stretch>
                  </pic:blipFill>
                  <pic:spPr>
                    <a:xfrm>
                      <a:off x="0" y="0"/>
                      <a:ext cx="5486400" cy="3289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86400" cy="3670300"/>
            <wp:effectExtent b="0" l="0" r="0" t="0"/>
            <wp:docPr descr="New Session &gt; Events &gt; Configure &gt; Filter (Predicate) &gt; Field" id="5" name="image17.png"/>
            <a:graphic>
              <a:graphicData uri="http://schemas.openxmlformats.org/drawingml/2006/picture">
                <pic:pic>
                  <pic:nvPicPr>
                    <pic:cNvPr descr="New Session &gt; Events &gt; Configure &gt; Filter (Predicate) &gt; Field" id="0" name="image17.png"/>
                    <pic:cNvPicPr preferRelativeResize="0"/>
                  </pic:nvPicPr>
                  <pic:blipFill>
                    <a:blip r:embed="rId34"/>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screenshots depicts the process of selecting a specific kind of event (in this case all SQL SELECT statements with a HAVING clause) to monitor. Results of monitoring through Extended Events can be viewed within SQL Server with the standard SELECT command used within SQL itself.  The below screenshot depicts the syntax and construction of such a statement.</w:t>
      </w:r>
      <w:r w:rsidDel="00000000" w:rsidR="00000000" w:rsidRPr="00000000">
        <w:rPr>
          <w:rFonts w:ascii="Times New Roman" w:cs="Times New Roman" w:eastAsia="Times New Roman" w:hAnsi="Times New Roman"/>
          <w:sz w:val="24"/>
          <w:szCs w:val="24"/>
        </w:rPr>
        <w:drawing>
          <wp:inline distB="114300" distT="114300" distL="114300" distR="114300">
            <wp:extent cx="5486400" cy="2159000"/>
            <wp:effectExtent b="0" l="0" r="0" t="0"/>
            <wp:docPr id="15"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486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Management Views (DMV) return information about server state that allows end user to monitor the health of a server instance, diagnose problems, and tune performance. DMV also includes tools to monitor replication and health status of other server instances. Similar to bog standard views in SQL server and utilize the same kind of DML, there are many kinds of DMV for specific kinds of optimization and performance tuning such as Memory-Optimized Table Dynamic Management Views </w:t>
      </w:r>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Object Related Dynamic Management Views, Query Notifications Related Dynamic Management Views. Notably, in addition to SELECT permissions on an object, querying a DMV requires VIEW SERVER STATE or VIEW DATABASE STATE permissions. The below picture indicates the location and shows a few kinds of DMVs.</w:t>
      </w:r>
    </w:p>
    <w:p w:rsidR="00000000" w:rsidDel="00000000" w:rsidP="00000000" w:rsidRDefault="00000000" w:rsidRPr="00000000" w14:paraId="00000061">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6657975"/>
            <wp:effectExtent b="0" l="0" r="0" t="0"/>
            <wp:docPr id="7"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667125"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an append only time ordered sequence of records used for many different kinds of software purposes; in the most abstract conception they describe when events occur. Similar to aforementioned functionalities, the SQL Server error log contains user-defined events and also events that can help you troubleshoot; dissimilar to others in that these logs contain only errors and so help tune performance only in the sense that it can help you diagnose when errors are occurring and perhaps help you narrow down where/why they are. Like many other tools mentioned, can be queried from within SQL Server itself (examples below)</w:t>
      </w:r>
      <w:r w:rsidDel="00000000" w:rsidR="00000000" w:rsidRPr="00000000">
        <w:rPr>
          <w:rFonts w:ascii="Times New Roman" w:cs="Times New Roman" w:eastAsia="Times New Roman" w:hAnsi="Times New Roman"/>
          <w:sz w:val="24"/>
          <w:szCs w:val="24"/>
        </w:rPr>
        <w:drawing>
          <wp:inline distB="114300" distT="114300" distL="114300" distR="114300">
            <wp:extent cx="5486400" cy="2959100"/>
            <wp:effectExtent b="0" l="0" r="0" t="0"/>
            <wp:docPr id="14"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4864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Server DB Engine uses the Query Optimizer to analyze each input query to determine the most efficient way to access data; this Query Optimizer outputs a query execution plan, which defines the order tables are accessed, how data is extracted from each table (index/table scan/index scan), and methods used to filter/aggregate/compute data.</w:t>
      </w:r>
      <w:r w:rsidDel="00000000" w:rsidR="00000000" w:rsidRPr="00000000">
        <w:rPr>
          <w:rFonts w:ascii="Times New Roman" w:cs="Times New Roman" w:eastAsia="Times New Roman" w:hAnsi="Times New Roman"/>
          <w:sz w:val="24"/>
          <w:szCs w:val="24"/>
        </w:rPr>
        <w:drawing>
          <wp:inline distB="114300" distT="114300" distL="114300" distR="114300">
            <wp:extent cx="5486400" cy="3035300"/>
            <wp:effectExtent b="0" l="0" r="0" t="0"/>
            <wp:docPr id="23"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5486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statistics can provide real time info into performance and how data flows, which can be essential in debugging specific query performance issues. Access to the actual execution plan also allows you to understand resource usage, bottlenecks, and in general have a more clear picture and how and why when performance issues crop up. These plans and statistics can be accessed with DML.</w:t>
      </w:r>
    </w:p>
    <w:p w:rsidR="00000000" w:rsidDel="00000000" w:rsidP="00000000" w:rsidRDefault="00000000" w:rsidRPr="00000000" w14:paraId="00000065">
      <w:pPr>
        <w:pageBreakBefore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rsidR="00000000" w:rsidDel="00000000" w:rsidP="00000000" w:rsidRDefault="00000000" w:rsidRPr="00000000" w14:paraId="00000067">
      <w:pPr>
        <w:spacing w:after="240" w:line="276"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merge of user logon and personal information can be done with a merge statement, wherein we first create a result table based on joining relevant information from all the Adventureworks tables. Then, following the format outlined in class, we provide relevant values for each instance of insertion of a new employee record.</w:t>
      </w:r>
      <w:r w:rsidDel="00000000" w:rsidR="00000000" w:rsidRPr="00000000">
        <w:rPr>
          <w:rFonts w:ascii="Times New Roman" w:cs="Times New Roman" w:eastAsia="Times New Roman" w:hAnsi="Times New Roman"/>
          <w:sz w:val="24"/>
          <w:szCs w:val="24"/>
        </w:rPr>
        <w:drawing>
          <wp:inline distB="114300" distT="114300" distL="114300" distR="114300">
            <wp:extent cx="6617766" cy="2191255"/>
            <wp:effectExtent b="0" l="0" r="0" t="0"/>
            <wp:docPr id="10"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6617766" cy="219125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merging of products we take relevant information from the AW tables and do an INSERT </w:t>
      </w:r>
    </w:p>
    <w:p w:rsidR="00000000" w:rsidDel="00000000" w:rsidP="00000000" w:rsidRDefault="00000000" w:rsidRPr="00000000" w14:paraId="00000069">
      <w:pPr>
        <w:pageBreakBefore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1313" cy="779013"/>
            <wp:effectExtent b="0" l="0" r="0" t="0"/>
            <wp:docPr id="33"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6691313" cy="7790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r w:rsidDel="00000000" w:rsidR="00000000" w:rsidRPr="00000000">
        <w:rPr>
          <w:rtl w:val="0"/>
        </w:rPr>
      </w:r>
    </w:p>
    <w:p w:rsidR="00000000" w:rsidDel="00000000" w:rsidP="00000000" w:rsidRDefault="00000000" w:rsidRPr="00000000" w14:paraId="0000006B">
      <w:pPr>
        <w:pageBreakBefore w:val="0"/>
        <w:spacing w:after="0" w:lineRule="auto"/>
        <w:ind w:left="72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Pr>
        <w:drawing>
          <wp:inline distB="114300" distT="114300" distL="114300" distR="114300">
            <wp:extent cx="5200650" cy="4467225"/>
            <wp:effectExtent b="0" l="0" r="0" t="0"/>
            <wp:docPr id="34"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52006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discussion about those two databases from the class, also remember, those data models are not perfect. You can always add new columns (but not alter or drop columns) to any tables. Suggesting adding Ingested DateTime and Surrogate Key columns. Study the Wide World Importers DW. Think the integration schema is the ODS. Come up with a TSQL Stored Procedure driven solution to move the data from WWI database to ODS, and then from the ODS to the fact tables and dimension tables. By the way, WWI DW is a galaxy schema db. Requirements:</w:t>
      </w:r>
    </w:p>
    <w:p w:rsidR="00000000" w:rsidDel="00000000" w:rsidP="00000000" w:rsidRDefault="00000000" w:rsidRPr="00000000" w14:paraId="0000006D">
      <w:pPr>
        <w:pageBreakBefore w:val="0"/>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we only start with 1 fact: Purchase. Other facts can be ignored for now.</w:t>
      </w:r>
      <w:r w:rsidDel="00000000" w:rsidR="00000000" w:rsidRPr="00000000">
        <w:rPr>
          <w:rtl w:val="0"/>
        </w:rPr>
      </w:r>
    </w:p>
    <w:p w:rsidR="00000000" w:rsidDel="00000000" w:rsidP="00000000" w:rsidRDefault="00000000" w:rsidRPr="00000000" w14:paraId="0000006E">
      <w:pPr>
        <w:pageBreakBefore w:val="0"/>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dimension: Country of Manufacture. It should be given on top of Stock Items.</w:t>
      </w:r>
      <w:r w:rsidDel="00000000" w:rsidR="00000000" w:rsidRPr="00000000">
        <w:rPr>
          <w:rtl w:val="0"/>
        </w:rPr>
      </w:r>
    </w:p>
    <w:p w:rsidR="00000000" w:rsidDel="00000000" w:rsidP="00000000" w:rsidRDefault="00000000" w:rsidRPr="00000000" w14:paraId="0000006F">
      <w:pPr>
        <w:pageBreakBefore w:val="0"/>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script(s) and stored procedure(s) for the entire ETL from WWI db to DW.</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2052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20527"/>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C87F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image" Target="media/image35.png"/><Relationship Id="rId22" Type="http://schemas.openxmlformats.org/officeDocument/2006/relationships/image" Target="media/image21.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32.png"/><Relationship Id="rId28" Type="http://schemas.openxmlformats.org/officeDocument/2006/relationships/image" Target="media/image6.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image" Target="media/image3.png"/><Relationship Id="rId8" Type="http://schemas.openxmlformats.org/officeDocument/2006/relationships/image" Target="media/image7.png"/><Relationship Id="rId31" Type="http://schemas.openxmlformats.org/officeDocument/2006/relationships/image" Target="media/image22.png"/><Relationship Id="rId30" Type="http://schemas.openxmlformats.org/officeDocument/2006/relationships/image" Target="media/image14.png"/><Relationship Id="rId11" Type="http://schemas.openxmlformats.org/officeDocument/2006/relationships/image" Target="media/image23.png"/><Relationship Id="rId33" Type="http://schemas.openxmlformats.org/officeDocument/2006/relationships/image" Target="media/image30.png"/><Relationship Id="rId10" Type="http://schemas.openxmlformats.org/officeDocument/2006/relationships/image" Target="media/image16.png"/><Relationship Id="rId32" Type="http://schemas.openxmlformats.org/officeDocument/2006/relationships/image" Target="media/image34.png"/><Relationship Id="rId13" Type="http://schemas.openxmlformats.org/officeDocument/2006/relationships/image" Target="media/image11.png"/><Relationship Id="rId35" Type="http://schemas.openxmlformats.org/officeDocument/2006/relationships/image" Target="media/image2.png"/><Relationship Id="rId12" Type="http://schemas.openxmlformats.org/officeDocument/2006/relationships/image" Target="media/image19.png"/><Relationship Id="rId34" Type="http://schemas.openxmlformats.org/officeDocument/2006/relationships/image" Target="media/image17.png"/><Relationship Id="rId15" Type="http://schemas.openxmlformats.org/officeDocument/2006/relationships/image" Target="media/image26.png"/><Relationship Id="rId37" Type="http://schemas.openxmlformats.org/officeDocument/2006/relationships/image" Target="media/image15.png"/><Relationship Id="rId14" Type="http://schemas.openxmlformats.org/officeDocument/2006/relationships/image" Target="media/image1.png"/><Relationship Id="rId36" Type="http://schemas.openxmlformats.org/officeDocument/2006/relationships/image" Target="media/image9.png"/><Relationship Id="rId17" Type="http://schemas.openxmlformats.org/officeDocument/2006/relationships/image" Target="media/image33.png"/><Relationship Id="rId39" Type="http://schemas.openxmlformats.org/officeDocument/2006/relationships/image" Target="media/image5.png"/><Relationship Id="rId16" Type="http://schemas.openxmlformats.org/officeDocument/2006/relationships/image" Target="media/image24.png"/><Relationship Id="rId38" Type="http://schemas.openxmlformats.org/officeDocument/2006/relationships/image" Target="media/image31.png"/><Relationship Id="rId19" Type="http://schemas.openxmlformats.org/officeDocument/2006/relationships/image" Target="media/image27.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voGEfjt2dd+LdazAk99NtajKQ==">AMUW2mURzuDDCqov+kkV/Q8IBz3Z26lGwQxOBCLLXm8eyH3i1SBSKX114kN6TctG4hx6IGQ4y7j1eSf9G/xHWMoA+Ll/NJmyxgEIfvataTYEa8+iR2NJ6c4=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2021-04-09T00:03:00Z</dcterms:created>
  <dc:creator>Changxing Lu</dc:creator>
</cp:coreProperties>
</file>