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EvoAgent 全系统架构一致性审计报告</w:t>
      </w:r>
    </w:p>
    <w:p>
      <w:pPr>
        <w:jc w:val="center"/>
      </w:pPr>
      <w:r>
        <w:rPr>
          <w:color w:val="5A5A5A"/>
          <w:sz w:val="22"/>
        </w:rPr>
        <w:t>第一轮审计基线｜待完整专项原稿逐项复核</w:t>
      </w:r>
    </w:p>
    <w:p>
      <w:r>
        <w:t>生成日期：2026-10-20｜版本：v0.1 初步汇编</w:t>
      </w:r>
    </w:p>
    <w:p>
      <w:r>
        <w:rPr>
          <w:i/>
          <w:color w:val="5A5A5A"/>
          <w:sz w:val="18"/>
        </w:rPr>
        <w:t>目录提示：在 Word 中可通过“引用 → 目录”生成/更新自动目录。</w:t>
      </w:r>
    </w:p>
    <w:p>
      <w:pPr>
        <w:pStyle w:val="Heading1"/>
      </w:pPr>
      <w:r>
        <w:t>EvoAgent 全系统架构一致性审计报告</w:t>
      </w:r>
    </w:p>
    <w:p>
      <w:r>
        <w:t>版本： Audit Draft v0.1</w:t>
      </w:r>
    </w:p>
    <w:p>
      <w:r>
        <w:t>日期： 2026-10-21</w:t>
      </w:r>
    </w:p>
    <w:p>
      <w:r>
        <w:t>状态： 初步审计基线；待补齐全部专项原稿后进行第二轮逐项核验</w:t>
      </w:r>
    </w:p>
    <w:p>
      <w:r>
        <w:t>适用部署方向： 个人用户、本地优先、Windows/Linux 主机，Android 作为可选交互端；后续可连接独立服务端</w:t>
      </w:r>
    </w:p>
    <w:p>
      <w:pPr>
        <w:pStyle w:val="Heading1"/>
      </w:pPr>
      <w:r>
        <w:t>0. 执行摘要</w:t>
      </w:r>
    </w:p>
    <w:p>
      <w:r>
        <w:t>本报告基于当前可读取的 EvoAgent PRD/TAD V0.1 基线、DeepSeek Harness 适配分析、离线日志与可靠同步设计、服务端逻辑服务协同设计、双端协同进化与版本分发补充设计，以及当前项目对话中可见的架构决策摘要，完成第一轮一致性审计。</w:t>
      </w:r>
    </w:p>
    <w:p>
      <w:r>
        <w:t>重要范围说明： 当前可读取的历史文件并不包含全部 50+ 专项的完整原稿。因此，本报告是可执行的第一轮架构审计和设计汇编基线，不会宣称已逐字合并所有专项原文。文末给出专项台账和缺口状态，后续应按台账逐项补齐、核对与合并。</w:t>
      </w:r>
    </w:p>
    <w:p>
      <w:pPr>
        <w:pStyle w:val="Heading2"/>
      </w:pPr>
      <w:r>
        <w:t>审计结论</w:t>
      </w:r>
    </w:p>
    <w:p>
      <w:pPr>
        <w:pStyle w:val="ListNumber"/>
      </w:pPr>
      <w:r>
        <w:t>核心方向可统一为“本地优先、模块化单体起步、逻辑服务边界清晰、远程能力可选、稳定执行与候选进化隔离”。</w:t>
      </w:r>
    </w:p>
    <w:p>
      <w:pPr>
        <w:pStyle w:val="ListNumber"/>
      </w:pPr>
      <w:r>
        <w:t>Android 优先交互战略与 Windows/Linux 本地运行并不必然冲突；应将“交互端优先级”和“运行宿主部署策略”拆成两个独立决策维度。</w:t>
      </w:r>
    </w:p>
    <w:p>
      <w:pPr>
        <w:pStyle w:val="ListNumber"/>
      </w:pPr>
      <w:r>
        <w:t>八个逻辑服务是服务端/宿主逻辑划分，不意味着必须部署八个微服务。个人部署 V0.1 应优先采用单进程或少量进程的模块化架构。</w:t>
      </w:r>
    </w:p>
    <w:p>
      <w:pPr>
        <w:pStyle w:val="ListNumber"/>
      </w:pPr>
      <w:r>
        <w:t>任务路由、规划、ReAct、DAG、恢复、资源调度和自主目标治理之间需要明确控制权，不能由多个模块同时拥有最终决策权。</w:t>
      </w:r>
    </w:p>
    <w:p>
      <w:pPr>
        <w:pStyle w:val="ListNumber"/>
      </w:pPr>
      <w:r>
        <w:t>运行事件、恢复检查点和外部副作用账本是三种不同事实，不能合并为一套模糊的“任务日志”。</w:t>
      </w:r>
    </w:p>
    <w:p>
      <w:pPr>
        <w:pStyle w:val="ListNumber"/>
      </w:pPr>
      <w:r>
        <w:t>诊断、评测、批准、发布与回滚必须分离；候选智能体不得自行修改安全边界、评测门槛或稳定版本指针。</w:t>
      </w:r>
    </w:p>
    <w:p>
      <w:pPr>
        <w:pStyle w:val="ListNumber"/>
      </w:pPr>
      <w:r>
        <w:t>记忆、上下文和压缩机制应共享策略框架，但保留不同命名空间、保留规则、权限和数据生命周期。</w:t>
      </w:r>
    </w:p>
    <w:p>
      <w:pPr>
        <w:pStyle w:val="ListNumber"/>
      </w:pPr>
      <w:r>
        <w:t>领域专家可拥有独立工具、技能、工作流、提示词、评测集与领域记忆；但共享内核的安全、状态、权限、事件和预算规则不得被领域专家绕过。</w:t>
      </w:r>
    </w:p>
    <w:p>
      <w:pPr>
        <w:pStyle w:val="ListNumber"/>
      </w:pPr>
      <w:r>
        <w:t>“无限进化”应被工程化解释为持续提出候选、验证、发布、观察与回滚的长期能力，而不是无限权限、无限任务或无限资源。</w:t>
      </w:r>
    </w:p>
    <w:p>
      <w:pPr>
        <w:pStyle w:val="ListNumber"/>
      </w:pPr>
      <w:r>
        <w:t>V0.1 应只验证一个可运行的任务闭环，不应一次实现全部专家、移动端自动化、自动工作流编译和自动发布。</w:t>
      </w:r>
    </w:p>
    <w:p>
      <w:pPr>
        <w:pStyle w:val="Heading1"/>
      </w:pPr>
      <w:r>
        <w:t>1. 审计依据与可信度</w:t>
      </w:r>
    </w:p>
    <w:p>
      <w:pPr>
        <w:pStyle w:val="Heading2"/>
      </w:pPr>
      <w:r>
        <w:t>1.1 当前可读取的历史资料</w:t>
      </w:r>
    </w:p>
    <w:p>
      <w:pPr>
        <w:pStyle w:val="ListBullet"/>
      </w:pPr>
      <w:r>
        <w:t>`EvoAgent_PRD_TAD_V0.1基线设计.md`：产品定位、三种执行路径、五层架构、工具契约、工作流版本化、数据模型、API、进化门禁和 V0.1 验收标准。</w:t>
      </w:r>
    </w:p>
    <w:p>
      <w:pPr>
        <w:pStyle w:val="ListBullet"/>
      </w:pPr>
      <w:r>
        <w:t>`EvoAgent与DeepSeekHarness架构适配分析.md`：Harness 作为可替换运行时适配对象；EvoAgent 自有工作流、权限、事件、评测、发布和回滚控制面。</w:t>
      </w:r>
    </w:p>
    <w:p>
      <w:pPr>
        <w:pStyle w:val="ListBullet"/>
      </w:pPr>
      <w:r>
        <w:t>`EvoAgent_离线日志与可靠同步子系统设计.docx`：本地先落盘、至少一次传输、服务端幂等去重、持久化 ACK、版本清单、诊断包、隐私和恢复边界。</w:t>
      </w:r>
    </w:p>
    <w:p>
      <w:pPr>
        <w:pStyle w:val="ListBullet"/>
      </w:pPr>
      <w:r>
        <w:t>`EvoAgent_服务端逻辑服务划分与协同机制.docx`：八个逻辑服务、稳定运行与进化交付双业务链、逻辑划分不等于物理微服务。</w:t>
      </w:r>
    </w:p>
    <w:p>
      <w:pPr>
        <w:pStyle w:val="ListBullet"/>
      </w:pPr>
      <w:r>
        <w:t>`EvoAgent_双端协同进化与版本分发架构补充设计.docx`：运行证据上行、候选验证、版本发布下行、客户端激活反馈与回滚闭环。</w:t>
      </w:r>
    </w:p>
    <w:p>
      <w:pPr>
        <w:pStyle w:val="ListBullet"/>
      </w:pPr>
      <w:r>
        <w:t>当前项目对话可见的设计摘要：统一任务入口、多层路由、受保护共享内核、独立领域专家、能力依赖图、独立进化控制器；手机优先与个人本地设备部署路径；记忆、上下文、压缩、专家、DAG、ReAct/Plan 关系；技能生命周期和自主目标治理。</w:t>
      </w:r>
    </w:p>
    <w:p>
      <w:pPr>
        <w:pStyle w:val="Heading2"/>
      </w:pPr>
      <w:r>
        <w:t>1.2 资料完整性限制</w:t>
      </w:r>
    </w:p>
    <w:p>
      <w:r>
        <w:t>当前项目资料库中可见的是少数基线与补充文件，并非 50+ 专项原稿全集。部分早期对话在当前上下文中以摘要或跳过消息形式存在，无法逐段核验。因此：</w:t>
      </w:r>
    </w:p>
    <w:p>
      <w:pPr>
        <w:pStyle w:val="ListBullet"/>
      </w:pPr>
      <w:r>
        <w:t>有原文支持的内容标为“基线已证实”；</w:t>
      </w:r>
    </w:p>
    <w:p>
      <w:pPr>
        <w:pStyle w:val="ListBullet"/>
      </w:pPr>
      <w:r>
        <w:t>有项目对话摘要支持的内容标为“决策摘要支持”；</w:t>
      </w:r>
    </w:p>
    <w:p>
      <w:pPr>
        <w:pStyle w:val="ListBullet"/>
      </w:pPr>
      <w:r>
        <w:t>需要找回或重新编写的内容标为“待专项原稿核对”；</w:t>
      </w:r>
    </w:p>
    <w:p>
      <w:pPr>
        <w:pStyle w:val="ListBullet"/>
      </w:pPr>
      <w:r>
        <w:t>不把推断的接口、状态或模块缩写写成已确认事实。</w:t>
      </w:r>
    </w:p>
    <w:p>
      <w:pPr>
        <w:pStyle w:val="Heading1"/>
      </w:pPr>
      <w:r>
        <w:t>2. 统一后的目标架构</w:t>
      </w:r>
    </w:p>
    <w:p>
      <w:pPr>
        <w:pStyle w:val="Heading2"/>
      </w:pPr>
      <w:r>
        <w:t>2.1 架构原则</w:t>
      </w:r>
    </w:p>
    <w:p>
      <w:pPr>
        <w:pStyle w:val="ListBullet"/>
      </w:pPr>
      <w:r>
        <w:t>本地优先：核心任务状态、日志、检查点、技能/工作流资产与基本评测能力在本地可运行。</w:t>
      </w:r>
    </w:p>
    <w:p>
      <w:pPr>
        <w:pStyle w:val="ListBullet"/>
      </w:pPr>
      <w:r>
        <w:t>模块化单体起步：先定义逻辑服务和契约，避免过早拆微服务。</w:t>
      </w:r>
    </w:p>
    <w:p>
      <w:pPr>
        <w:pStyle w:val="ListBullet"/>
      </w:pPr>
      <w:r>
        <w:t>稳定轨道与进化轨道隔离：候选变更不直接影响稳定执行。</w:t>
      </w:r>
    </w:p>
    <w:p>
      <w:pPr>
        <w:pStyle w:val="ListBullet"/>
      </w:pPr>
      <w:r>
        <w:t>控制面自有、运行时可替换：DeepSeek Harness 可作为候选 Runtime，通过适配器隔离；不得成为产品架构的唯一基础。</w:t>
      </w:r>
    </w:p>
    <w:p>
      <w:pPr>
        <w:pStyle w:val="ListBullet"/>
      </w:pPr>
      <w:r>
        <w:t>证据优先：每个关键结论关联可追踪的运行证据、评测结果或明确的用户决策。</w:t>
      </w:r>
    </w:p>
    <w:p>
      <w:pPr>
        <w:pStyle w:val="ListBullet"/>
      </w:pPr>
      <w:r>
        <w:t>可恢复：版本不可变、任务有检查点、副作用可对账、发布可回滚。</w:t>
      </w:r>
    </w:p>
    <w:p>
      <w:pPr>
        <w:pStyle w:val="ListBullet"/>
      </w:pPr>
      <w:r>
        <w:t>最小权限：模型提出动作，运行时与策略层决定是否允许。</w:t>
      </w:r>
    </w:p>
    <w:p>
      <w:pPr>
        <w:pStyle w:val="ListBullet"/>
      </w:pPr>
      <w:r>
        <w:t>领域隔离：专家拥有领域资产空间，不能直接改写全局规则。</w:t>
      </w:r>
    </w:p>
    <w:p>
      <w:pPr>
        <w:pStyle w:val="ListBullet"/>
      </w:pPr>
      <w:r>
        <w:t>进化有门禁：候选创建、候选验证、批准、发布、观察、回滚分别建模。</w:t>
      </w:r>
    </w:p>
    <w:p>
      <w:pPr>
        <w:pStyle w:val="ListBullet"/>
      </w:pPr>
      <w:r>
        <w:t>允许停止：目标无价值、无进展、预算耗尽、授权失效时，系统应暂停或结束。</w:t>
      </w:r>
    </w:p>
    <w:p>
      <w:pPr>
        <w:pStyle w:val="Heading2"/>
      </w:pPr>
      <w:r>
        <w:t>2.2 统一逻辑分层</w:t>
      </w:r>
    </w:p>
    <w:p>
      <w:pPr>
        <w:pStyle w:val="ListNumber"/>
      </w:pPr>
      <w:r>
        <w:t>交互层：Android、桌面 UI、CLI/API（按版本逐步交付）。</w:t>
      </w:r>
    </w:p>
    <w:p>
      <w:pPr>
        <w:pStyle w:val="ListNumber"/>
      </w:pPr>
      <w:r>
        <w:t>任务入口与治理层：意图解析、风险识别、目标注册、授权与审批。</w:t>
      </w:r>
    </w:p>
    <w:p>
      <w:pPr>
        <w:pStyle w:val="ListNumber"/>
      </w:pPr>
      <w:r>
        <w:t>编排与执行层：Router、Planner、ReAct Runtime、DAG Scheduler、状态机、检查点、恢复控制器。</w:t>
      </w:r>
    </w:p>
    <w:p>
      <w:pPr>
        <w:pStyle w:val="ListNumber"/>
      </w:pPr>
      <w:r>
        <w:t>能力层：工具注册表、技能注册表、领域专家、工作流、能力包、模型适配器。</w:t>
      </w:r>
    </w:p>
    <w:p>
      <w:pPr>
        <w:pStyle w:val="ListNumber"/>
      </w:pPr>
      <w:r>
        <w:t>上下文与资产层：会话上下文、用户记忆、项目记忆、领域知识、任务状态、资产注册与依赖图。</w:t>
      </w:r>
    </w:p>
    <w:p>
      <w:pPr>
        <w:pStyle w:val="ListNumber"/>
      </w:pPr>
      <w:r>
        <w:t>观测与诊断层：事件、Trace、工具健康、故障分类、问题案例。</w:t>
      </w:r>
    </w:p>
    <w:p>
      <w:pPr>
        <w:pStyle w:val="ListNumber"/>
      </w:pPr>
      <w:r>
        <w:t>评测与质量层：回归集、独立验收、基准比较、失败注入、安全检查。</w:t>
      </w:r>
    </w:p>
    <w:p>
      <w:pPr>
        <w:pStyle w:val="ListNumber"/>
      </w:pPr>
      <w:r>
        <w:t>进化与发布层：候选生成、隔离实验、晋级门禁、版本分发、灰度、回滚。</w:t>
      </w:r>
    </w:p>
    <w:p>
      <w:pPr>
        <w:pStyle w:val="ListNumber"/>
      </w:pPr>
      <w:r>
        <w:t>基础设施层：SQLite、文件系统、Git、可选队列/对象存储、密钥与配置管理。</w:t>
      </w:r>
    </w:p>
    <w:p>
      <w:pPr>
        <w:pStyle w:val="Heading1"/>
      </w:pPr>
      <w:r>
        <w:t>3. 部署策略冲突审计</w:t>
      </w:r>
    </w:p>
    <w:p>
      <w:pPr>
        <w:pStyle w:val="Heading2"/>
      </w:pPr>
      <w:r>
        <w:t>3.1 表面冲突</w:t>
      </w:r>
    </w:p>
    <w:p>
      <w:r>
        <w:t>历史讨论涉及：</w:t>
      </w:r>
    </w:p>
    <w:p>
      <w:pPr>
        <w:pStyle w:val="ListBullet"/>
      </w:pPr>
      <w:r>
        <w:t>手机优先战略与 EvoAgent Android；</w:t>
      </w:r>
    </w:p>
    <w:p>
      <w:pPr>
        <w:pStyle w:val="ListBullet"/>
      </w:pPr>
      <w:r>
        <w:t>Windows 10/11 桌面端 V0.1 全本地运行；</w:t>
      </w:r>
    </w:p>
    <w:p>
      <w:pPr>
        <w:pStyle w:val="ListBullet"/>
      </w:pPr>
      <w:r>
        <w:t>个人电脑或 Mini PC、微型 Linux 主机作为个人宿主；</w:t>
      </w:r>
    </w:p>
    <w:p>
      <w:pPr>
        <w:pStyle w:val="ListBullet"/>
      </w:pPr>
      <w:r>
        <w:t>后续接入独立服务器的可能性。</w:t>
      </w:r>
    </w:p>
    <w:p>
      <w:pPr>
        <w:pStyle w:val="Heading2"/>
      </w:pPr>
      <w:r>
        <w:t>3.2 统一解释</w:t>
      </w:r>
    </w:p>
    <w:p>
      <w:r>
        <w:t>将两个决策轴拆开：</w:t>
      </w:r>
    </w:p>
    <w:p>
      <w:r>
        <w:t>交互端路线：</w:t>
      </w:r>
    </w:p>
    <w:p>
      <w:pPr>
        <w:pStyle w:val="ListBullet"/>
      </w:pPr>
      <w:r>
        <w:t>Android 是移动交互与受控设备操作端；</w:t>
      </w:r>
    </w:p>
    <w:p>
      <w:pPr>
        <w:pStyle w:val="ListBullet"/>
      </w:pPr>
      <w:r>
        <w:t>Windows 桌面端适合开发、调试、长任务与本地工具执行；</w:t>
      </w:r>
    </w:p>
    <w:p>
      <w:pPr>
        <w:pStyle w:val="ListBullet"/>
      </w:pPr>
      <w:r>
        <w:t>CLI/API 是测试与自动化接口；</w:t>
      </w:r>
    </w:p>
    <w:p>
      <w:pPr>
        <w:pStyle w:val="ListBullet"/>
      </w:pPr>
      <w:r>
        <w:t>交互端不决定所有任务必须在该设备上运行。</w:t>
      </w:r>
    </w:p>
    <w:p>
      <w:r>
        <w:t>运行宿主路线：</w:t>
      </w:r>
    </w:p>
    <w:p>
      <w:pPr>
        <w:pStyle w:val="ListBullet"/>
      </w:pPr>
      <w:r>
        <w:t>V0.1 优先支持本地单机运行；</w:t>
      </w:r>
    </w:p>
    <w:p>
      <w:pPr>
        <w:pStyle w:val="ListBullet"/>
      </w:pPr>
      <w:r>
        <w:t>核心服务以 Python 模块化单体起步，存储以 SQLite + 文件系统 + Git 为主；</w:t>
      </w:r>
    </w:p>
    <w:p>
      <w:pPr>
        <w:pStyle w:val="ListBullet"/>
      </w:pPr>
      <w:r>
        <w:t>Android 可以独立运行部分本地功能，也可以连接用户自有宿主；</w:t>
      </w:r>
    </w:p>
    <w:p>
      <w:pPr>
        <w:pStyle w:val="ListBullet"/>
      </w:pPr>
      <w:r>
        <w:t>远程服务端作为可选扩展，不是个人版核心闭环的先决条件；</w:t>
      </w:r>
    </w:p>
    <w:p>
      <w:pPr>
        <w:pStyle w:val="ListBullet"/>
      </w:pPr>
      <w:r>
        <w:t>离线情况下必须保留本地任务状态、事件记录、基本工具能力和导出能力。</w:t>
      </w:r>
    </w:p>
    <w:p>
      <w:pPr>
        <w:pStyle w:val="Heading2"/>
      </w:pPr>
      <w:r>
        <w:t>3.3 决策建议</w:t>
      </w:r>
    </w:p>
    <w:p>
      <w:r>
        <w:t>采用“本地优先、端侧多入口、宿主可替换”的架构。不要把“手机优先”解释为所有复杂任务必须在手机上执行，也不要把“桌面本地 V0.1”解释为放弃 Android 路线。</w:t>
      </w:r>
    </w:p>
    <w:p>
      <w:r>
        <w:t>状态：建议统一；需在正式 ADR 中由项目所有者确认。</w:t>
      </w:r>
    </w:p>
    <w:p>
      <w:pPr>
        <w:pStyle w:val="Heading1"/>
      </w:pPr>
      <w:r>
        <w:t>4. 模块职责与控制权审计</w:t>
      </w:r>
    </w:p>
    <w:p>
      <w:pPr>
        <w:pStyle w:val="Heading2"/>
      </w:pPr>
      <w:r>
        <w:t>4.1 控制权矩阵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决策/职责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最终负责模块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协作模块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  <w:sz w:val="16"/>
              </w:rPr>
              <w:t>禁止事项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识别用户意图与候选专家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Intent Router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Context Manager、领域注册表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不直接执行高风险动作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决定是否匹配已有工作流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Workflow Matcher/Router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KCLG/资产注册表、Planner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不因相似度高而跳过契约检查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分解目标与生成计划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Planner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AGIG、Router、预算策略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不自行扩大授权范围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决定单步模型动作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ReAct Runtime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模型适配器、上下文管理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模型不能直接执行工具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执行工具动作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Tool Gateway/Action Guard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工具适配器、TSEG 策略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不允许绕过 Schema、权限和预算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管理 DAG 节点状态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DAG/Workflow Runtime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状态机、检查点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不与长期 Goal 状态混为一体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恢复和重试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RERA/Recovery Manager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副作用账本、工具健康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不盲目重放不确定外部副作用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分配模型/并发/资源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APRO/Resource Scheduler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AGIG、任务队列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不突破用户预算和前台保护策略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发现主动目标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AGIG Opportunity Detector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GECO、QEEG、RERA、KCLG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不直接将候选视为已授权执行任务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诊断根因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诊断器（如 SOCDEA，名称待核）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GECO、QEEG、工具健康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不凭单次失败自动改生产配置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判断质量是否合格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QEEG/Evaluator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评测集、独立验证器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候选系统不能自行降低门槛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批准并发布版本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SELCIA/受保护发布控制器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TSEG、QEEG、制品管理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不允许候选修改稳定指针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管理知识/技能/工作流资产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KCLG/Asset Governance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评测、依赖图、版本管理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不把一次成功自动晋升为稳定能力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记录运行事实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GECO/Event Store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所有运行模块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日志不是可信命令，不替代检查点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任务长期目标状态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AGIG Goal Registry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Planner、Scheduler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不直接代替 DAG 节点状态机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权限与风险策略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TSEG/Policy Gate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Action Guard、审批 UI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领域专家不得自行放宽全局安全策略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用户进度与审批展示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HACCG/交互控制台（名称待核）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AGIG、运行时、审批服务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不作为底层执行控制器</w:t>
            </w:r>
          </w:p>
        </w:tc>
      </w:tr>
    </w:tbl>
    <w:p/>
    <w:p>
      <w:r>
        <w:t>注：AGIG、APRO、RERA、QEEG、KCLG、TSEG、SELCIA、GECO 等缩写在对话中出现过，但某些缩写的正式全称与边界仍需对照原始专项文档核验。上表是职责建议，不代表所有命名已冻结。</w:t>
      </w:r>
    </w:p>
    <w:p>
      <w:pPr>
        <w:pStyle w:val="Heading2"/>
      </w:pPr>
      <w:r>
        <w:t>4.2 Router、Planner、ReAct 与 DAG 的关系</w:t>
      </w:r>
    </w:p>
    <w:p>
      <w:pPr>
        <w:pStyle w:val="ListBullet"/>
      </w:pPr>
      <w:r>
        <w:t>Router：判断任务领域、能力需求、风险与可能的执行模式；可以多层路由，但最终必须输出可解释的选择及置信/缺口。</w:t>
      </w:r>
    </w:p>
    <w:p>
      <w:pPr>
        <w:pStyle w:val="ListBullet"/>
      </w:pPr>
      <w:r>
        <w:t>Planner：为当前目标生成可执行计划，选择固定 DAG、混合 Agent 工作流或动态规划。</w:t>
      </w:r>
    </w:p>
    <w:p>
      <w:pPr>
        <w:pStyle w:val="ListBullet"/>
      </w:pPr>
      <w:r>
        <w:t>DAG Runtime：管理依赖、分支、并发、重试、检查点和节点状态。</w:t>
      </w:r>
    </w:p>
    <w:p>
      <w:pPr>
        <w:pStyle w:val="ListBullet"/>
      </w:pPr>
      <w:r>
        <w:t>ReAct：适用于需要根据观察动态选择下一步的局部执行节点；不是整个系统唯一的任务管理器。</w:t>
      </w:r>
    </w:p>
    <w:p>
      <w:pPr>
        <w:pStyle w:val="ListBullet"/>
      </w:pPr>
      <w:r>
        <w:t>Expert Agent：提供领域知识、领域策略和工具选择能力；不能替代共享内核。</w:t>
      </w:r>
    </w:p>
    <w:p>
      <w:pPr>
        <w:pStyle w:val="ListBullet"/>
      </w:pPr>
      <w:r>
        <w:t>Evaluator：独立判断结果是否满足验收契约，不由执行模型自评作为唯一依据。</w:t>
      </w:r>
    </w:p>
    <w:p>
      <w:pPr>
        <w:pStyle w:val="Heading1"/>
      </w:pPr>
      <w:r>
        <w:t>5. 记忆、上下文与压缩审计</w:t>
      </w:r>
    </w:p>
    <w:p>
      <w:pPr>
        <w:pStyle w:val="Heading2"/>
      </w:pPr>
      <w:r>
        <w:t>5.1 建议区分的数据类型</w:t>
      </w:r>
    </w:p>
    <w:p>
      <w:pPr>
        <w:pStyle w:val="ListNumber"/>
      </w:pPr>
      <w:r>
        <w:t>用户长期偏好与授权：跨任务可复用，但需可查看、可纠正、可撤销。</w:t>
      </w:r>
    </w:p>
    <w:p>
      <w:pPr>
        <w:pStyle w:val="ListNumber"/>
      </w:pPr>
      <w:r>
        <w:t>项目记忆：特定项目的决策、约束、状态和历史。</w:t>
      </w:r>
    </w:p>
    <w:p>
      <w:pPr>
        <w:pStyle w:val="ListNumber"/>
      </w:pPr>
      <w:r>
        <w:t>领域知识：领域可复用事实、方法、限制与来源。</w:t>
      </w:r>
    </w:p>
    <w:p>
      <w:pPr>
        <w:pStyle w:val="ListNumber"/>
      </w:pPr>
      <w:r>
        <w:t>会话上下文：当前交互所需的近期信息。</w:t>
      </w:r>
    </w:p>
    <w:p>
      <w:pPr>
        <w:pStyle w:val="ListNumber"/>
      </w:pPr>
      <w:r>
        <w:t>任务工作记忆：当前任务的计划、未决问题、证据和中间产物。</w:t>
      </w:r>
    </w:p>
    <w:p>
      <w:pPr>
        <w:pStyle w:val="ListNumber"/>
      </w:pPr>
      <w:r>
        <w:t>运行证据：事件、工具结果、版本、评测和失败记录。</w:t>
      </w:r>
    </w:p>
    <w:p>
      <w:pPr>
        <w:pStyle w:val="ListNumber"/>
      </w:pPr>
      <w:r>
        <w:t>派生摘要：从原始来源压缩得到的视图，必须保留来源引用和更新时间。</w:t>
      </w:r>
    </w:p>
    <w:p>
      <w:pPr>
        <w:pStyle w:val="Heading2"/>
      </w:pPr>
      <w:r>
        <w:t>5.2 “压缩是否全局共用”的结论</w:t>
      </w:r>
    </w:p>
    <w:p>
      <w:r>
        <w:t>压缩策略框架可以共享，压缩后的内容不能全局混用。</w:t>
      </w:r>
    </w:p>
    <w:p>
      <w:r>
        <w:t>共享部分：</w:t>
      </w:r>
    </w:p>
    <w:p>
      <w:pPr>
        <w:pStyle w:val="ListBullet"/>
      </w:pPr>
      <w:r>
        <w:t>Token/容量预算；</w:t>
      </w:r>
    </w:p>
    <w:p>
      <w:pPr>
        <w:pStyle w:val="ListBullet"/>
      </w:pPr>
      <w:r>
        <w:t>重要性评分策略；</w:t>
      </w:r>
    </w:p>
    <w:p>
      <w:pPr>
        <w:pStyle w:val="ListBullet"/>
      </w:pPr>
      <w:r>
        <w:t>冲突识别；</w:t>
      </w:r>
    </w:p>
    <w:p>
      <w:pPr>
        <w:pStyle w:val="ListBullet"/>
      </w:pPr>
      <w:r>
        <w:t>摘要质量评测；</w:t>
      </w:r>
    </w:p>
    <w:p>
      <w:pPr>
        <w:pStyle w:val="ListBullet"/>
      </w:pPr>
      <w:r>
        <w:t>来源追踪规则；</w:t>
      </w:r>
    </w:p>
    <w:p>
      <w:pPr>
        <w:pStyle w:val="ListBullet"/>
      </w:pPr>
      <w:r>
        <w:t>丢失关键约束的回归测试。</w:t>
      </w:r>
    </w:p>
    <w:p>
      <w:r>
        <w:t>隔离部分：</w:t>
      </w:r>
    </w:p>
    <w:p>
      <w:pPr>
        <w:pStyle w:val="ListBullet"/>
      </w:pPr>
      <w:r>
        <w:t>用户、项目、领域、任务命名空间；</w:t>
      </w:r>
    </w:p>
    <w:p>
      <w:pPr>
        <w:pStyle w:val="ListBullet"/>
      </w:pPr>
      <w:r>
        <w:t>权限与隐私范围；</w:t>
      </w:r>
    </w:p>
    <w:p>
      <w:pPr>
        <w:pStyle w:val="ListBullet"/>
      </w:pPr>
      <w:r>
        <w:t>保留期与删除策略；</w:t>
      </w:r>
    </w:p>
    <w:p>
      <w:pPr>
        <w:pStyle w:val="ListBullet"/>
      </w:pPr>
      <w:r>
        <w:t>不同领域的术语和证据标准；</w:t>
      </w:r>
    </w:p>
    <w:p>
      <w:pPr>
        <w:pStyle w:val="ListBullet"/>
      </w:pPr>
      <w:r>
        <w:t>当前任务所需的临时上下文。</w:t>
      </w:r>
    </w:p>
    <w:p>
      <w:r>
        <w:t>压缩应优先保留目标、约束、决策、验收标准、未决事项、关键证据与来源；不能只按时间截断。摘要不得成为比原始事实更高权威的来源。</w:t>
      </w:r>
    </w:p>
    <w:p>
      <w:pPr>
        <w:pStyle w:val="Heading2"/>
      </w:pPr>
      <w:r>
        <w:t>5.3 记忆写入规则</w:t>
      </w:r>
    </w:p>
    <w:p>
      <w:pPr>
        <w:pStyle w:val="ListBullet"/>
      </w:pPr>
      <w:r>
        <w:t>候选记忆与已确认记忆分开；</w:t>
      </w:r>
    </w:p>
    <w:p>
      <w:pPr>
        <w:pStyle w:val="ListBullet"/>
      </w:pPr>
      <w:r>
        <w:t>用户明确决策优先于旧的项目假设；</w:t>
      </w:r>
    </w:p>
    <w:p>
      <w:pPr>
        <w:pStyle w:val="ListBullet"/>
      </w:pPr>
      <w:r>
        <w:t>用户偏好不能覆盖客观事实、安全要求和验收契约；</w:t>
      </w:r>
    </w:p>
    <w:p>
      <w:pPr>
        <w:pStyle w:val="ListBullet"/>
      </w:pPr>
      <w:r>
        <w:t>技术事实需来源、版本或验证状态；</w:t>
      </w:r>
    </w:p>
    <w:p>
      <w:pPr>
        <w:pStyle w:val="ListBullet"/>
      </w:pPr>
      <w:r>
        <w:t>派生摘要可重建，原始来源与删除要求需可追踪；</w:t>
      </w:r>
    </w:p>
    <w:p>
      <w:pPr>
        <w:pStyle w:val="ListBullet"/>
      </w:pPr>
      <w:r>
        <w:t>不同专家的领域记忆默认隔离，通过显式共享接口复用。</w:t>
      </w:r>
    </w:p>
    <w:p>
      <w:pPr>
        <w:pStyle w:val="Heading1"/>
      </w:pPr>
      <w:r>
        <w:t>6. 能力、技能、工作流与专家审计</w:t>
      </w:r>
    </w:p>
    <w:p>
      <w:pPr>
        <w:pStyle w:val="Heading2"/>
      </w:pPr>
      <w:r>
        <w:t>6.1 概念边界</w:t>
      </w:r>
    </w:p>
    <w:p>
      <w:pPr>
        <w:pStyle w:val="ListBullet"/>
      </w:pPr>
      <w:r>
        <w:t>Tool：可调用的原子操作，有 Schema、权限、幂等和错误契约。</w:t>
      </w:r>
    </w:p>
    <w:p>
      <w:pPr>
        <w:pStyle w:val="ListBullet"/>
      </w:pPr>
      <w:r>
        <w:t>Skill：可复用的知识/操作策略，可包含提示词、代码、约束与示例。</w:t>
      </w:r>
    </w:p>
    <w:p>
      <w:pPr>
        <w:pStyle w:val="ListBullet"/>
      </w:pPr>
      <w:r>
        <w:t>Workflow/DAG：节点依赖、分支、重试、审批、验收和恢复条件构成的可执行流程。</w:t>
      </w:r>
    </w:p>
    <w:p>
      <w:pPr>
        <w:pStyle w:val="ListBullet"/>
      </w:pPr>
      <w:r>
        <w:t>Expert：领域能力组合，包括提示策略、技能、工具、工作流、领域记忆和评测集。</w:t>
      </w:r>
    </w:p>
    <w:p>
      <w:pPr>
        <w:pStyle w:val="ListBullet"/>
      </w:pPr>
      <w:r>
        <w:t>Capability Pack：面向业务目标的打包能力，例如编程、AI 漫剧制作或受控手机操作。</w:t>
      </w:r>
    </w:p>
    <w:p>
      <w:pPr>
        <w:pStyle w:val="ListBullet"/>
      </w:pPr>
      <w:r>
        <w:t>Model Profile：模型与特定任务/工具环境的版本化适配档案。</w:t>
      </w:r>
    </w:p>
    <w:p>
      <w:pPr>
        <w:pStyle w:val="ListBullet"/>
      </w:pPr>
      <w:r>
        <w:t>Evaluation Suite：固定版本的验收与回归测试集。</w:t>
      </w:r>
    </w:p>
    <w:p>
      <w:pPr>
        <w:pStyle w:val="ListBullet"/>
      </w:pPr>
      <w:r>
        <w:t>Runtime/Harness：驱动模型循环、工具调用和局部执行的机制。</w:t>
      </w:r>
    </w:p>
    <w:p>
      <w:pPr>
        <w:pStyle w:val="ListBullet"/>
      </w:pPr>
      <w:r>
        <w:t>Release：经过批准的不可变版本组合及其适用范围。</w:t>
      </w:r>
    </w:p>
    <w:p>
      <w:pPr>
        <w:pStyle w:val="Heading2"/>
      </w:pPr>
      <w:r>
        <w:t>6.2 技能生命周期</w:t>
      </w:r>
    </w:p>
    <w:p>
      <w:r>
        <w:t>候选发现 → 候选实现 → 契约验证 → 独立评测 → 批准 → 正式使用 → 观察 → 退化/冻结/弃用/退役。</w:t>
      </w:r>
    </w:p>
    <w:p>
      <w:r>
        <w:t>每次正式发布必须有不可变版本、内容摘要、依赖清单、来源、适用范围、评测证据与回滚指针。技能改动不得原地覆盖历史版本。</w:t>
      </w:r>
    </w:p>
    <w:p>
      <w:pPr>
        <w:pStyle w:val="Heading2"/>
      </w:pPr>
      <w:r>
        <w:t>6.3 专家隔离</w:t>
      </w:r>
    </w:p>
    <w:p>
      <w:r>
        <w:t>领域专家可独立拥有：</w:t>
      </w:r>
    </w:p>
    <w:p>
      <w:pPr>
        <w:pStyle w:val="ListBullet"/>
      </w:pPr>
      <w:r>
        <w:t>system/role 配置；</w:t>
      </w:r>
    </w:p>
    <w:p>
      <w:pPr>
        <w:pStyle w:val="ListBullet"/>
      </w:pPr>
      <w:r>
        <w:t>领域知识命名空间；</w:t>
      </w:r>
    </w:p>
    <w:p>
      <w:pPr>
        <w:pStyle w:val="ListBullet"/>
      </w:pPr>
      <w:r>
        <w:t>专用工具与适配器；</w:t>
      </w:r>
    </w:p>
    <w:p>
      <w:pPr>
        <w:pStyle w:val="ListBullet"/>
      </w:pPr>
      <w:r>
        <w:t>领域工作流；</w:t>
      </w:r>
    </w:p>
    <w:p>
      <w:pPr>
        <w:pStyle w:val="ListBullet"/>
      </w:pPr>
      <w:r>
        <w:t>领域评测集；</w:t>
      </w:r>
    </w:p>
    <w:p>
      <w:pPr>
        <w:pStyle w:val="ListBullet"/>
      </w:pPr>
      <w:r>
        <w:t>模型偏好与成本策略；</w:t>
      </w:r>
    </w:p>
    <w:p>
      <w:pPr>
        <w:pStyle w:val="ListBullet"/>
      </w:pPr>
      <w:r>
        <w:t>能力包版本。</w:t>
      </w:r>
    </w:p>
    <w:p>
      <w:r>
        <w:t>共享内核负责任务身份、权限、预算、事件、状态、恢复、评测门禁和发布安全。一个领域的改进不得无条件改变其他领域。</w:t>
      </w:r>
    </w:p>
    <w:p>
      <w:pPr>
        <w:pStyle w:val="Heading1"/>
      </w:pPr>
      <w:r>
        <w:t>7. 运行证据、恢复与同步边界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</w:tcPr>
          <w:p>
            <w:r>
              <w:rPr>
                <w:b/>
                <w:sz w:val="16"/>
              </w:rPr>
              <w:t>机制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  <w:sz w:val="16"/>
              </w:rPr>
              <w:t>事实职责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  <w:sz w:val="16"/>
              </w:rPr>
              <w:t>不负责什么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Event/Trace Store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记录发生了什么、使用哪个版本、工具结果与错误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不保证任务能恢复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Checkpoint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保存恢复所需的状态、游标、DAG 节点和引用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不等于完整审计日志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Side-effect Ledger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记录外部副作用的意图、提交、确认与对账状态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不替代业务验收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Sync Receipt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证明服务端已持久化接收指定事件/附件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不证明事件内容真实可信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Runtime Manifest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固定一次运行实际使用的组件版本组合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不代表这些版本质量合格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Evaluation Record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记录测试集、环境、结果和门禁判断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不替代发布授权</w:t>
            </w:r>
          </w:p>
        </w:tc>
      </w:tr>
      <w:tr>
        <w:tc>
          <w:tcPr>
            <w:tcW w:type="dxa" w:w="3312"/>
          </w:tcPr>
          <w:p>
            <w:r>
              <w:rPr>
                <w:sz w:val="16"/>
              </w:rPr>
              <w:t>Release Manifest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定义可分发版本、依赖、签名、范围和回滚信息</w:t>
            </w:r>
          </w:p>
        </w:tc>
        <w:tc>
          <w:tcPr>
            <w:tcW w:type="dxa" w:w="3312"/>
          </w:tcPr>
          <w:p>
            <w:r>
              <w:rPr>
                <w:sz w:val="16"/>
              </w:rPr>
              <w:t>不保证客户端已成功激活</w:t>
            </w:r>
          </w:p>
        </w:tc>
      </w:tr>
    </w:tbl>
    <w:p/>
    <w:p>
      <w:r>
        <w:t>离线同步采用至少一次传输、稳定事件 ID、服务端幂等去重、持久化后 ACK、部分成功明确回执、退避重试和隔离永久错误。版本分发与日志补传是独立队列，不能互相阻塞。</w:t>
      </w:r>
    </w:p>
    <w:p>
      <w:pPr>
        <w:pStyle w:val="Heading1"/>
      </w:pPr>
      <w:r>
        <w:t>8. 进化闭环与发布治理</w:t>
      </w:r>
    </w:p>
    <w:p>
      <w:r>
        <w:t>建议统一流程：</w:t>
      </w:r>
    </w:p>
    <w:p>
      <w:r>
        <w:t>运行证据 → 机会候选 → 根因假设 → 改进提案 → 候选实现 → 隔离评测 → 安全/兼容门禁 → 授权批准 → 不可变发布 → 灰度/观察 → 晋级或回滚 → 结果回流。</w:t>
      </w:r>
    </w:p>
    <w:p>
      <w:r>
        <w:t>强制规则：</w:t>
      </w:r>
    </w:p>
    <w:p>
      <w:pPr>
        <w:pStyle w:val="ListBullet"/>
      </w:pPr>
      <w:r>
        <w:t>执行模型不能控制自己的独立评测集和门禁；</w:t>
      </w:r>
    </w:p>
    <w:p>
      <w:pPr>
        <w:pStyle w:val="ListBullet"/>
      </w:pPr>
      <w:r>
        <w:t>候选代码不能直接访问稳定生产数据或修改稳定版本指针；</w:t>
      </w:r>
    </w:p>
    <w:p>
      <w:pPr>
        <w:pStyle w:val="ListBullet"/>
      </w:pPr>
      <w:r>
        <w:t>安全策略、权限机制和评测门槛不得由普通自进化流程自行放宽；</w:t>
      </w:r>
    </w:p>
    <w:p>
      <w:pPr>
        <w:pStyle w:val="ListBullet"/>
      </w:pPr>
      <w:r>
        <w:t>自动发布初期仅限明确 allowlist 的低风险配置；</w:t>
      </w:r>
    </w:p>
    <w:p>
      <w:pPr>
        <w:pStyle w:val="ListBullet"/>
      </w:pPr>
      <w:r>
        <w:t>一次成功轨迹只能形成候选，不能自动成为稳定工作流；</w:t>
      </w:r>
    </w:p>
    <w:p>
      <w:pPr>
        <w:pStyle w:val="ListBullet"/>
      </w:pPr>
      <w:r>
        <w:t>实际收益要通过真实任务观察验证；</w:t>
      </w:r>
    </w:p>
    <w:p>
      <w:pPr>
        <w:pStyle w:val="ListBullet"/>
      </w:pPr>
      <w:r>
        <w:t>进化失败时保留证据，避免重复尝试同一无效策略。</w:t>
      </w:r>
    </w:p>
    <w:p>
      <w:pPr>
        <w:pStyle w:val="Heading1"/>
      </w:pPr>
      <w:r>
        <w:t>9. 自主目标管理（AGIG）审计</w:t>
      </w:r>
    </w:p>
    <w:p>
      <w:r>
        <w:t>AGIG 负责“为什么做、是否值得、是否获准、何时停止”；Planner 负责“怎样做”；DAG/ReAct 执行器负责“如何运行”；APRO 负责资源安排；QEEG 负责结果验证。</w:t>
      </w:r>
    </w:p>
    <w:p>
      <w:r>
        <w:t>每个长期目标应有：</w:t>
      </w:r>
    </w:p>
    <w:p>
      <w:pPr>
        <w:pStyle w:val="ListBullet"/>
      </w:pPr>
      <w:r>
        <w:t>明确成功条件；</w:t>
      </w:r>
    </w:p>
    <w:p>
      <w:pPr>
        <w:pStyle w:val="ListBullet"/>
      </w:pPr>
      <w:r>
        <w:t>来源、所有者与父目标；</w:t>
      </w:r>
    </w:p>
    <w:p>
      <w:pPr>
        <w:pStyle w:val="ListBullet"/>
      </w:pPr>
      <w:r>
        <w:t>授权引用；</w:t>
      </w:r>
    </w:p>
    <w:p>
      <w:pPr>
        <w:pStyle w:val="ListBullet"/>
      </w:pPr>
      <w:r>
        <w:t>预算与截止/失效条件；</w:t>
      </w:r>
    </w:p>
    <w:p>
      <w:pPr>
        <w:pStyle w:val="ListBullet"/>
      </w:pPr>
      <w:r>
        <w:t>子目标数量/深度限制；</w:t>
      </w:r>
    </w:p>
    <w:p>
      <w:pPr>
        <w:pStyle w:val="ListBullet"/>
      </w:pPr>
      <w:r>
        <w:t>无进展阈值；</w:t>
      </w:r>
    </w:p>
    <w:p>
      <w:pPr>
        <w:pStyle w:val="ListBullet"/>
      </w:pPr>
      <w:r>
        <w:t>等待、暂停、取消与恢复语义；</w:t>
      </w:r>
    </w:p>
    <w:p>
      <w:pPr>
        <w:pStyle w:val="ListBullet"/>
      </w:pPr>
      <w:r>
        <w:t>结果记录与后续观察条件。</w:t>
      </w:r>
    </w:p>
    <w:p>
      <w:r>
        <w:t>主动发现只创建机会候选；候选要经过价值、证据、成本、风险和授权评估。目标完成后不得为了继续“显得有用”自动扩展任务。</w:t>
      </w:r>
    </w:p>
    <w:p>
      <w:pPr>
        <w:pStyle w:val="Heading1"/>
      </w:pPr>
      <w:r>
        <w:t>10. 本地优先部署基线</w:t>
      </w:r>
    </w:p>
    <w:p>
      <w:pPr>
        <w:pStyle w:val="Heading2"/>
      </w:pPr>
      <w:r>
        <w:t>V0.1 建议</w:t>
      </w:r>
    </w:p>
    <w:p>
      <w:pPr>
        <w:pStyle w:val="ListBullet"/>
      </w:pPr>
      <w:r>
        <w:t>Python 3.11+（具体版本应由依赖测试冻结）；</w:t>
      </w:r>
    </w:p>
    <w:p>
      <w:pPr>
        <w:pStyle w:val="ListBullet"/>
      </w:pPr>
      <w:r>
        <w:t>SQLite 保存任务、状态、资产元数据、审批和评测索引；</w:t>
      </w:r>
    </w:p>
    <w:p>
      <w:pPr>
        <w:pStyle w:val="ListBullet"/>
      </w:pPr>
      <w:r>
        <w:t>JSONL/结构化事件作为可追溯日志；</w:t>
      </w:r>
    </w:p>
    <w:p>
      <w:pPr>
        <w:pStyle w:val="ListBullet"/>
      </w:pPr>
      <w:r>
        <w:t>文件系统保存大产物，Git 管理工作流、提示词、配置和版本化文本资产；</w:t>
      </w:r>
    </w:p>
    <w:p>
      <w:pPr>
        <w:pStyle w:val="ListBullet"/>
      </w:pPr>
      <w:r>
        <w:t>模块化单体，不把八个逻辑服务立即拆成八个微服务；</w:t>
      </w:r>
    </w:p>
    <w:p>
      <w:pPr>
        <w:pStyle w:val="ListBullet"/>
      </w:pPr>
      <w:r>
        <w:t>Mock Runtime/模型用于无密钥测试；</w:t>
      </w:r>
    </w:p>
    <w:p>
      <w:pPr>
        <w:pStyle w:val="ListBullet"/>
      </w:pPr>
      <w:r>
        <w:t>一个真实模型适配器作为可选集成；</w:t>
      </w:r>
    </w:p>
    <w:p>
      <w:pPr>
        <w:pStyle w:val="ListBullet"/>
      </w:pPr>
      <w:r>
        <w:t>所有外部工具调用通过 Tool Gateway/Action Guard；</w:t>
      </w:r>
    </w:p>
    <w:p>
      <w:pPr>
        <w:pStyle w:val="ListBullet"/>
      </w:pPr>
      <w:r>
        <w:t>本地离线仍可创建/查询任务、记录事件、运行确定性工具、导出诊断包；</w:t>
      </w:r>
    </w:p>
    <w:p>
      <w:pPr>
        <w:pStyle w:val="ListBullet"/>
      </w:pPr>
      <w:r>
        <w:t>远程模型不可用时明确降级，不伪装成完整智能能力。</w:t>
      </w:r>
    </w:p>
    <w:p>
      <w:pPr>
        <w:pStyle w:val="Heading2"/>
      </w:pPr>
      <w:r>
        <w:t>后续可选</w:t>
      </w:r>
    </w:p>
    <w:p>
      <w:pPr>
        <w:pStyle w:val="ListBullet"/>
      </w:pPr>
      <w:r>
        <w:t>PostgreSQL/队列/对象存储；</w:t>
      </w:r>
    </w:p>
    <w:p>
      <w:pPr>
        <w:pStyle w:val="ListBullet"/>
      </w:pPr>
      <w:r>
        <w:t>独立远程进化服务；</w:t>
      </w:r>
    </w:p>
    <w:p>
      <w:pPr>
        <w:pStyle w:val="ListBullet"/>
      </w:pPr>
      <w:r>
        <w:t>Android App 连接个人宿主；</w:t>
      </w:r>
    </w:p>
    <w:p>
      <w:pPr>
        <w:pStyle w:val="ListBullet"/>
      </w:pPr>
      <w:r>
        <w:t>多设备版本分发；</w:t>
      </w:r>
    </w:p>
    <w:p>
      <w:pPr>
        <w:pStyle w:val="ListBullet"/>
      </w:pPr>
      <w:r>
        <w:t>多模型路由；</w:t>
      </w:r>
    </w:p>
    <w:p>
      <w:pPr>
        <w:pStyle w:val="ListBullet"/>
      </w:pPr>
      <w:r>
        <w:t>沙箱容器与更强隔离。</w:t>
      </w:r>
    </w:p>
    <w:p>
      <w:pPr>
        <w:pStyle w:val="Heading1"/>
      </w:pPr>
      <w:r>
        <w:t>11. V0.1 冻结建议</w:t>
      </w:r>
    </w:p>
    <w:p>
      <w:pPr>
        <w:pStyle w:val="Heading2"/>
      </w:pPr>
      <w:r>
        <w:t>必须交付</w:t>
      </w:r>
    </w:p>
    <w:p>
      <w:pPr>
        <w:pStyle w:val="ListBullet"/>
      </w:pPr>
      <w:r>
        <w:t>Task/Run/Node 状态机；</w:t>
      </w:r>
    </w:p>
    <w:p>
      <w:pPr>
        <w:pStyle w:val="ListBullet"/>
      </w:pPr>
      <w:r>
        <w:t>工具注册表与 Schema 校验；</w:t>
      </w:r>
    </w:p>
    <w:p>
      <w:pPr>
        <w:pStyle w:val="ListBullet"/>
      </w:pPr>
      <w:r>
        <w:t>Action Guard；</w:t>
      </w:r>
    </w:p>
    <w:p>
      <w:pPr>
        <w:pStyle w:val="ListBullet"/>
      </w:pPr>
      <w:r>
        <w:t>一个受控 ReAct 执行循环；</w:t>
      </w:r>
    </w:p>
    <w:p>
      <w:pPr>
        <w:pStyle w:val="ListBullet"/>
      </w:pPr>
      <w:r>
        <w:t>结构化事件；</w:t>
      </w:r>
    </w:p>
    <w:p>
      <w:pPr>
        <w:pStyle w:val="ListBullet"/>
      </w:pPr>
      <w:r>
        <w:t>最小检查点和取消；</w:t>
      </w:r>
    </w:p>
    <w:p>
      <w:pPr>
        <w:pStyle w:val="ListBullet"/>
      </w:pPr>
      <w:r>
        <w:t>幂等键与副作用状态；</w:t>
      </w:r>
    </w:p>
    <w:p>
      <w:pPr>
        <w:pStyle w:val="ListBullet"/>
      </w:pPr>
      <w:r>
        <w:t>最终验收器；</w:t>
      </w:r>
    </w:p>
    <w:p>
      <w:pPr>
        <w:pStyle w:val="ListBullet"/>
      </w:pPr>
      <w:r>
        <w:t>失败分类与有限恢复；</w:t>
      </w:r>
    </w:p>
    <w:p>
      <w:pPr>
        <w:pStyle w:val="ListBullet"/>
      </w:pPr>
      <w:r>
        <w:t>SQLite + 文件存储；</w:t>
      </w:r>
    </w:p>
    <w:p>
      <w:pPr>
        <w:pStyle w:val="ListBullet"/>
      </w:pPr>
      <w:r>
        <w:t>Mock 模式和至少一个真实模型适配接口；</w:t>
      </w:r>
    </w:p>
    <w:p>
      <w:pPr>
        <w:pStyle w:val="ListBullet"/>
      </w:pPr>
      <w:r>
        <w:t>单元/集成/回归测试；</w:t>
      </w:r>
    </w:p>
    <w:p>
      <w:pPr>
        <w:pStyle w:val="ListBullet"/>
      </w:pPr>
      <w:r>
        <w:t>可运行启动说明和端到端示例。</w:t>
      </w:r>
    </w:p>
    <w:p>
      <w:pPr>
        <w:pStyle w:val="Heading2"/>
      </w:pPr>
      <w:r>
        <w:t>延后</w:t>
      </w:r>
    </w:p>
    <w:p>
      <w:pPr>
        <w:pStyle w:val="ListBullet"/>
      </w:pPr>
      <w:r>
        <w:t>自动工作流编译与自动发布；</w:t>
      </w:r>
    </w:p>
    <w:p>
      <w:pPr>
        <w:pStyle w:val="ListBullet"/>
      </w:pPr>
      <w:r>
        <w:t>完整 AGIG 长期目标自主推进；</w:t>
      </w:r>
    </w:p>
    <w:p>
      <w:pPr>
        <w:pStyle w:val="ListBullet"/>
      </w:pPr>
      <w:r>
        <w:t>多专家自动进化；</w:t>
      </w:r>
    </w:p>
    <w:p>
      <w:pPr>
        <w:pStyle w:val="ListBullet"/>
      </w:pPr>
      <w:r>
        <w:t>全量 Android 无障碍操作；</w:t>
      </w:r>
    </w:p>
    <w:p>
      <w:pPr>
        <w:pStyle w:val="ListBullet"/>
      </w:pPr>
      <w:r>
        <w:t>AI 漫剧端到端生产能力；</w:t>
      </w:r>
    </w:p>
    <w:p>
      <w:pPr>
        <w:pStyle w:val="ListBullet"/>
      </w:pPr>
      <w:r>
        <w:t>多设备自动版本分发；</w:t>
      </w:r>
    </w:p>
    <w:p>
      <w:pPr>
        <w:pStyle w:val="ListBullet"/>
      </w:pPr>
      <w:r>
        <w:t>复杂分布式队列和微服务拆分。</w:t>
      </w:r>
    </w:p>
    <w:p>
      <w:pPr>
        <w:pStyle w:val="Heading2"/>
      </w:pPr>
      <w:r>
        <w:t>暂不允许</w:t>
      </w:r>
    </w:p>
    <w:p>
      <w:pPr>
        <w:pStyle w:val="ListBullet"/>
      </w:pPr>
      <w:r>
        <w:t>候选修改核心 Runtime 后直接上线；</w:t>
      </w:r>
    </w:p>
    <w:p>
      <w:pPr>
        <w:pStyle w:val="ListBullet"/>
      </w:pPr>
      <w:r>
        <w:t>候选修改权限/安全/评测门禁；</w:t>
      </w:r>
    </w:p>
    <w:p>
      <w:pPr>
        <w:pStyle w:val="ListBullet"/>
      </w:pPr>
      <w:r>
        <w:t>未经授权的高风险外部操作；</w:t>
      </w:r>
    </w:p>
    <w:p>
      <w:pPr>
        <w:pStyle w:val="ListBullet"/>
      </w:pPr>
      <w:r>
        <w:t>未经幂等与状态对账的自动重放；</w:t>
      </w:r>
    </w:p>
    <w:p>
      <w:pPr>
        <w:pStyle w:val="ListBullet"/>
      </w:pPr>
      <w:r>
        <w:t>将模型自评当作唯一验收；</w:t>
      </w:r>
    </w:p>
    <w:p>
      <w:pPr>
        <w:pStyle w:val="ListBullet"/>
      </w:pPr>
      <w:r>
        <w:t>将所有成功轨迹自动固化为工作流。</w:t>
      </w:r>
    </w:p>
    <w:p>
      <w:pPr>
        <w:pStyle w:val="Heading1"/>
      </w:pPr>
      <w:r>
        <w:t>12. 风险登记表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D9EA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  <w:sz w:val="16"/>
              </w:rPr>
              <w:t>风险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  <w:sz w:val="16"/>
              </w:rPr>
              <w:t>等级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  <w:sz w:val="16"/>
              </w:rPr>
              <w:t>缓解策略</w:t>
            </w:r>
          </w:p>
        </w:tc>
        <w:tc>
          <w:tcPr>
            <w:tcW w:type="dxa" w:w="1987"/>
            <w:shd w:fill="D9EAF7"/>
          </w:tcPr>
          <w:p>
            <w:r>
              <w:rPr>
                <w:b/>
                <w:sz w:val="16"/>
              </w:rPr>
              <w:t>验收证据</w:t>
            </w:r>
          </w:p>
        </w:tc>
      </w:tr>
      <w:tr>
        <w:tc>
          <w:tcPr>
            <w:tcW w:type="dxa" w:w="1987"/>
          </w:tcPr>
          <w:p>
            <w:r>
              <w:rPr>
                <w:sz w:val="16"/>
              </w:rPr>
              <w:t>R-01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50+ 专项原稿未全部可读取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高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建立专项台账，逐项补齐原稿/摘要/待重写状态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每项有来源、版本和状态</w:t>
            </w:r>
          </w:p>
        </w:tc>
      </w:tr>
      <w:tr>
        <w:tc>
          <w:tcPr>
            <w:tcW w:type="dxa" w:w="1987"/>
          </w:tcPr>
          <w:p>
            <w:r>
              <w:rPr>
                <w:sz w:val="16"/>
              </w:rPr>
              <w:t>R-02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多个模块拥有相同控制权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高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控制权矩阵、唯一写入者原则、接口评审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状态转换和决策测试</w:t>
            </w:r>
          </w:p>
        </w:tc>
      </w:tr>
      <w:tr>
        <w:tc>
          <w:tcPr>
            <w:tcW w:type="dxa" w:w="1987"/>
          </w:tcPr>
          <w:p>
            <w:r>
              <w:rPr>
                <w:sz w:val="16"/>
              </w:rPr>
              <w:t>R-03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本地优先与双端方案混淆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高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分离交互端与运行宿主决策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部署 ADR 和部署图</w:t>
            </w:r>
          </w:p>
        </w:tc>
      </w:tr>
      <w:tr>
        <w:tc>
          <w:tcPr>
            <w:tcW w:type="dxa" w:w="1987"/>
          </w:tcPr>
          <w:p>
            <w:r>
              <w:rPr>
                <w:sz w:val="16"/>
              </w:rPr>
              <w:t>R-04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记忆/上下文混用导致污染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高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命名空间、来源引用、权限和压缩评测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跨领域隔离测试</w:t>
            </w:r>
          </w:p>
        </w:tc>
      </w:tr>
      <w:tr>
        <w:tc>
          <w:tcPr>
            <w:tcW w:type="dxa" w:w="1987"/>
          </w:tcPr>
          <w:p>
            <w:r>
              <w:rPr>
                <w:sz w:val="16"/>
              </w:rPr>
              <w:t>R-05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诊断与执行耦合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高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独立诊断、独立评测、候选隔离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注入故障后不直接改生产</w:t>
            </w:r>
          </w:p>
        </w:tc>
      </w:tr>
      <w:tr>
        <w:tc>
          <w:tcPr>
            <w:tcW w:type="dxa" w:w="1987"/>
          </w:tcPr>
          <w:p>
            <w:r>
              <w:rPr>
                <w:sz w:val="16"/>
              </w:rPr>
              <w:t>R-06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外部副作用重复执行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高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幂等键、Side-effect Ledger、状态对账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断网/超时/重启测试</w:t>
            </w:r>
          </w:p>
        </w:tc>
      </w:tr>
      <w:tr>
        <w:tc>
          <w:tcPr>
            <w:tcW w:type="dxa" w:w="1987"/>
          </w:tcPr>
          <w:p>
            <w:r>
              <w:rPr>
                <w:sz w:val="16"/>
              </w:rPr>
              <w:t>R-07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自进化绕过门禁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高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受保护控制器、签名制品、独立门禁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权限绕过负向测试</w:t>
            </w:r>
          </w:p>
        </w:tc>
      </w:tr>
      <w:tr>
        <w:tc>
          <w:tcPr>
            <w:tcW w:type="dxa" w:w="1987"/>
          </w:tcPr>
          <w:p>
            <w:r>
              <w:rPr>
                <w:sz w:val="16"/>
              </w:rPr>
              <w:t>R-08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过度工程化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中高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模块化单体、V0.1 范围冻结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端到端可运行交付</w:t>
            </w:r>
          </w:p>
        </w:tc>
      </w:tr>
      <w:tr>
        <w:tc>
          <w:tcPr>
            <w:tcW w:type="dxa" w:w="1987"/>
          </w:tcPr>
          <w:p>
            <w:r>
              <w:rPr>
                <w:sz w:val="16"/>
              </w:rPr>
              <w:t>R-09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旧版本/兼容性不可追溯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高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不可变 Runtime Manifest 与 Release Manifest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历史任务可复现</w:t>
            </w:r>
          </w:p>
        </w:tc>
      </w:tr>
      <w:tr>
        <w:tc>
          <w:tcPr>
            <w:tcW w:type="dxa" w:w="1987"/>
          </w:tcPr>
          <w:p>
            <w:r>
              <w:rPr>
                <w:sz w:val="16"/>
              </w:rPr>
              <w:t>R-10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主动任务无限膨胀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中高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目标图、预算、深度上限、停止控制器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无进展与预算耗尽测试</w:t>
            </w:r>
          </w:p>
        </w:tc>
      </w:tr>
    </w:tbl>
    <w:p/>
    <w:p>
      <w:pPr>
        <w:pStyle w:val="Heading1"/>
      </w:pPr>
      <w:r>
        <w:t>13. 审计结论与冻结门槛</w:t>
      </w:r>
    </w:p>
    <w:p>
      <w:r>
        <w:t>第一轮审计建议通过以下条件后冻结 V0.1：</w:t>
      </w:r>
    </w:p>
    <w:p>
      <w:pPr>
        <w:pStyle w:val="ListNumber"/>
      </w:pPr>
      <w:r>
        <w:t>核心实体与状态机有唯一权威定义；</w:t>
      </w:r>
    </w:p>
    <w:p>
      <w:pPr>
        <w:pStyle w:val="ListNumber"/>
      </w:pPr>
      <w:r>
        <w:t>模块职责和控制权矩阵获确认；</w:t>
      </w:r>
    </w:p>
    <w:p>
      <w:pPr>
        <w:pStyle w:val="ListNumber"/>
      </w:pPr>
      <w:r>
        <w:t>本地部署目标与客户端路线分离；</w:t>
      </w:r>
    </w:p>
    <w:p>
      <w:pPr>
        <w:pStyle w:val="ListNumber"/>
      </w:pPr>
      <w:r>
        <w:t>工具动作统一经过权限与预算检查；</w:t>
      </w:r>
    </w:p>
    <w:p>
      <w:pPr>
        <w:pStyle w:val="ListNumber"/>
      </w:pPr>
      <w:r>
        <w:t>事件、检查点和副作用账本分离；</w:t>
      </w:r>
    </w:p>
    <w:p>
      <w:pPr>
        <w:pStyle w:val="ListNumber"/>
      </w:pPr>
      <w:r>
        <w:t>候选进化与稳定运行隔离；</w:t>
      </w:r>
    </w:p>
    <w:p>
      <w:pPr>
        <w:pStyle w:val="ListNumber"/>
      </w:pPr>
      <w:r>
        <w:t>最小端到端流程具有自动化验收；</w:t>
      </w:r>
    </w:p>
    <w:p>
      <w:pPr>
        <w:pStyle w:val="ListNumber"/>
      </w:pPr>
      <w:r>
        <w:t>所有未决决策进入 ADR 台账；</w:t>
      </w:r>
    </w:p>
    <w:p>
      <w:pPr>
        <w:pStyle w:val="ListNumber"/>
      </w:pPr>
      <w:r>
        <w:t>专项目录标注来源完整性，不能将待重建专项冒充原文已合并；</w:t>
      </w:r>
    </w:p>
    <w:p>
      <w:pPr>
        <w:pStyle w:val="ListNumber"/>
      </w:pPr>
      <w:r>
        <w:t>关键离线、取消、恢复、重复副作用和回滚测试通过。</w:t>
      </w:r>
    </w:p>
    <w:p>
      <w:r>
        <w:t>建议的冻结声明： 冻结 V0.1 的核心职责、数据契约、权限边界和执行闭环；不冻结领域专家数量、技能内容、工作流内容和模型供应商选择。新增能力优先通过插件/资产/工作流扩展，不轻易改变稳定内核。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EvoAgent｜架构审计与设计汇编｜Draft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E37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E37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E37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color w:val="1E375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