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EvoAgent 总体架构与接口基线</w:t>
      </w:r>
    </w:p>
    <w:p>
      <w:pPr>
        <w:jc w:val="center"/>
      </w:pPr>
      <w:r>
        <w:rPr>
          <w:color w:val="5A5A5A"/>
          <w:sz w:val="22"/>
        </w:rPr>
        <w:t>核心职责、数据契约、控制权与 V0.1 边界</w:t>
      </w:r>
    </w:p>
    <w:p>
      <w:r>
        <w:t>生成日期：2026-10-20｜版本：v0.1 初步汇编</w:t>
      </w:r>
    </w:p>
    <w:p>
      <w:r>
        <w:rPr>
          <w:i/>
          <w:color w:val="5A5A5A"/>
          <w:sz w:val="18"/>
        </w:rPr>
        <w:t>目录提示：在 Word 中可通过“引用 → 目录”生成/更新自动目录。</w:t>
      </w:r>
    </w:p>
    <w:p>
      <w:pPr>
        <w:pStyle w:val="Heading1"/>
      </w:pPr>
      <w:r>
        <w:t>EvoAgent 总体架构与接口基线</w:t>
      </w:r>
    </w:p>
    <w:p>
      <w:r>
        <w:t>版本： Architecture Baseline Draft v0.1</w:t>
      </w:r>
    </w:p>
    <w:p>
      <w:r>
        <w:t>日期： 2026-10-21</w:t>
      </w:r>
    </w:p>
    <w:p>
      <w:r>
        <w:t>用途： V0.1 工程实施与后续专项合并的统一基线</w:t>
      </w:r>
    </w:p>
    <w:p>
      <w:r>
        <w:t>状态： 初步统一稿；需结合完整专项原稿进行第二轮逐项核对</w:t>
      </w:r>
    </w:p>
    <w:p>
      <w:pPr>
        <w:pStyle w:val="Heading1"/>
      </w:pPr>
      <w:r>
        <w:t>1. 产品定义</w:t>
      </w:r>
    </w:p>
    <w:p>
      <w:r>
        <w:t>EvoAgent 是本地优先的个人通用智能体系统。用户通过文字、语音或 API 提出目标；系统解析意图与约束，路由到合适专家，匹配稳定工作流或受控动态规划，执行工具和 Agent 节点，验证结果并记录运行证据；通过独立诊断、评测、发布与回滚机制持续改进质量、效率和稳定性。</w:t>
      </w:r>
    </w:p>
    <w:p>
      <w:r>
        <w:t>长期价值不是“修改自己次数更多”，而是：</w:t>
      </w:r>
    </w:p>
    <w:p>
      <w:pPr>
        <w:pStyle w:val="ListBullet"/>
      </w:pPr>
      <w:r>
        <w:t>更可靠地完成真实任务；</w:t>
      </w:r>
    </w:p>
    <w:p>
      <w:pPr>
        <w:pStyle w:val="ListBullet"/>
      </w:pPr>
      <w:r>
        <w:t>在适用场景复用经过验证的能力；</w:t>
      </w:r>
    </w:p>
    <w:p>
      <w:pPr>
        <w:pStyle w:val="ListBullet"/>
      </w:pPr>
      <w:r>
        <w:t>更准确地诊断失败；</w:t>
      </w:r>
    </w:p>
    <w:p>
      <w:pPr>
        <w:pStyle w:val="ListBullet"/>
      </w:pPr>
      <w:r>
        <w:t>在相同预算下提高成功率/质量或降低成本/时延；</w:t>
      </w:r>
    </w:p>
    <w:p>
      <w:pPr>
        <w:pStyle w:val="ListBullet"/>
      </w:pPr>
      <w:r>
        <w:t>保持可追溯、可恢复、可停止与用户可控。</w:t>
      </w:r>
    </w:p>
    <w:p>
      <w:pPr>
        <w:pStyle w:val="Heading1"/>
      </w:pPr>
      <w:r>
        <w:t>2. 系统原则</w:t>
      </w:r>
    </w:p>
    <w:p>
      <w:pPr>
        <w:pStyle w:val="ListNumber"/>
      </w:pPr>
      <w:r>
        <w:t>任务结果优先于模型输出。</w:t>
      </w:r>
    </w:p>
    <w:p>
      <w:pPr>
        <w:pStyle w:val="ListNumber"/>
      </w:pPr>
      <w:r>
        <w:t>确定性工具优先于不必要的自由推理。</w:t>
      </w:r>
    </w:p>
    <w:p>
      <w:pPr>
        <w:pStyle w:val="ListNumber"/>
      </w:pPr>
      <w:r>
        <w:t>已验证工作流优先复用；没有适用工作流才动态规划。</w:t>
      </w:r>
    </w:p>
    <w:p>
      <w:pPr>
        <w:pStyle w:val="ListNumber"/>
      </w:pPr>
      <w:r>
        <w:t>一次成功只生成候选，不自动变成稳定能力。</w:t>
      </w:r>
    </w:p>
    <w:p>
      <w:pPr>
        <w:pStyle w:val="ListNumber"/>
      </w:pPr>
      <w:r>
        <w:t>运行时、诊断器、评测器和发布控制器职责隔离。</w:t>
      </w:r>
    </w:p>
    <w:p>
      <w:pPr>
        <w:pStyle w:val="ListNumber"/>
      </w:pPr>
      <w:r>
        <w:t>模型输出是不可信提议，不能直接取得工具执行权。</w:t>
      </w:r>
    </w:p>
    <w:p>
      <w:pPr>
        <w:pStyle w:val="ListNumber"/>
      </w:pPr>
      <w:r>
        <w:t>记忆与上下文共享策略，不共享无边界内容。</w:t>
      </w:r>
    </w:p>
    <w:p>
      <w:pPr>
        <w:pStyle w:val="ListNumber"/>
      </w:pPr>
      <w:r>
        <w:t>所有关键动作可追踪、版本可复现、发布可回滚。</w:t>
      </w:r>
    </w:p>
    <w:p>
      <w:pPr>
        <w:pStyle w:val="ListNumber"/>
      </w:pPr>
      <w:r>
        <w:t>本地离线是基础设计约束，不是异常状态。</w:t>
      </w:r>
    </w:p>
    <w:p>
      <w:pPr>
        <w:pStyle w:val="ListNumber"/>
      </w:pPr>
      <w:r>
        <w:t>自主目标必须有预算、授权、停止条件与验收证据。</w:t>
      </w:r>
    </w:p>
    <w:p>
      <w:pPr>
        <w:pStyle w:val="Heading1"/>
      </w:pPr>
      <w:r>
        <w:t>3. 统一架构</w:t>
      </w:r>
    </w:p>
    <w:p>
      <w:pPr>
        <w:spacing w:after="120"/>
        <w:ind w:left="360"/>
      </w:pPr>
      <w:r>
        <w:rPr>
          <w:rFonts w:ascii="Consolas" w:hAnsi="Consolas" w:eastAsia="Microsoft YaHei"/>
          <w:sz w:val="16"/>
        </w:rPr>
        <w:t>[Android / Desktop / CLI / API]</w:t>
        <w:br/>
        <w:t xml:space="preserve">             |</w:t>
        <w:br/>
        <w:t xml:space="preserve">       Interaction Gateway</w:t>
        <w:br/>
        <w:t xml:space="preserve">             |</w:t>
        <w:br/>
        <w:t xml:space="preserve"> [Intent + Goal + Risk + Authorization]</w:t>
        <w:br/>
        <w:t xml:space="preserve">             |</w:t>
        <w:br/>
        <w:t xml:space="preserve">          [Router]</w:t>
        <w:br/>
        <w:t xml:space="preserve">             |</w:t>
        <w:br/>
        <w:t xml:space="preserve">   [Workflow Match / Planner]</w:t>
        <w:br/>
        <w:t xml:space="preserve">       /             \</w:t>
        <w:br/>
        <w:t xml:space="preserve"> Stable Workflow   Dynamic Plan</w:t>
        <w:br/>
        <w:t xml:space="preserve">       \             /</w:t>
        <w:br/>
        <w:t xml:space="preserve">        [DAG Runtime]</w:t>
        <w:br/>
        <w:t xml:space="preserve">             |</w:t>
        <w:br/>
        <w:t xml:space="preserve">  [ReAct / Agent Runtime Adapter]</w:t>
        <w:br/>
        <w:t xml:space="preserve">             |</w:t>
        <w:br/>
        <w:t xml:space="preserve"> [Tool Gateway + Action Guard + Budget]</w:t>
        <w:br/>
        <w:t xml:space="preserve">             |</w:t>
        <w:br/>
        <w:t xml:space="preserve"> [Tools / Local OS / External APIs / Models]</w:t>
        <w:br/>
        <w:t xml:space="preserve">             |</w:t>
        <w:br/>
        <w:t xml:space="preserve"> [Verifier + Acceptance Contract]</w:t>
        <w:br/>
        <w:t xml:space="preserve">             |</w:t>
        <w:br/>
        <w:t xml:space="preserve"> [Events + Checkpoints + Side-effect Ledger]</w:t>
        <w:br/>
        <w:t xml:space="preserve">             |</w:t>
        <w:br/>
        <w:t xml:space="preserve"> [Diagnostics + QEEG + Asset Governance]</w:t>
        <w:br/>
        <w:t xml:space="preserve">             |</w:t>
        <w:br/>
        <w:t xml:space="preserve"> [Candidate Experiment / Promotion Gate]</w:t>
        <w:br/>
        <w:t xml:space="preserve">             |</w:t>
        <w:br/>
        <w:t xml:space="preserve"> [Immutable Release / Observe / Rollback]</w:t>
      </w:r>
    </w:p>
    <w:p>
      <w:r>
        <w:t>横切能力：Context &amp; Memory Manager、Policy/TSEG、APRO Resource Scheduler、RERA Recovery Manager、GECO Event Store、KCLG Asset Registry、AGIG Goal Governance、HACCG user control surface（缩写待核验）。</w:t>
      </w:r>
    </w:p>
    <w:p>
      <w:pPr>
        <w:pStyle w:val="Heading1"/>
      </w:pPr>
      <w:r>
        <w:t>4. 模块职责</w:t>
      </w:r>
    </w:p>
    <w:p>
      <w:pPr>
        <w:pStyle w:val="Heading2"/>
      </w:pPr>
      <w:r>
        <w:t>4.1 Interaction Gateway</w:t>
      </w:r>
    </w:p>
    <w:p>
      <w:r>
        <w:t>负责接收文字/语音/API 请求、显示任务状态、收集审批和交付结果。不能绕过后端策略直接执行高风险动作。</w:t>
      </w:r>
    </w:p>
    <w:p>
      <w:pPr>
        <w:pStyle w:val="Heading2"/>
      </w:pPr>
      <w:r>
        <w:t>4.2 Intent Router</w:t>
      </w:r>
    </w:p>
    <w:p>
      <w:r>
        <w:t>将输入转化为结构化目标、约束、领域候选、风险标签和所需能力。输出应包含选择理由、缺失信息和置信状态；不确定时允许追问或使用通用路径。</w:t>
      </w:r>
    </w:p>
    <w:p>
      <w:pPr>
        <w:pStyle w:val="Heading2"/>
      </w:pPr>
      <w:r>
        <w:t>4.3 Goal Governance（AGIG）</w:t>
      </w:r>
    </w:p>
    <w:p>
      <w:r>
        <w:t>管理显式目标、长期目标、派生子目标、维护目标和主动机会。负责价值评估、授权前置检查、优先级建议、目标状态、预算/截止/停止条件。它不负责 DAG 节点执行。</w:t>
      </w:r>
    </w:p>
    <w:p>
      <w:pPr>
        <w:pStyle w:val="Heading2"/>
      </w:pPr>
      <w:r>
        <w:t>4.4 Planner</w:t>
      </w:r>
    </w:p>
    <w:p>
      <w:r>
        <w:t>把目标转化为计划，优先匹配已有工作流；否则创建受限 DAG 或 Agent 节点。不能扩大授权范围，也不能自行批准高风险动作。</w:t>
      </w:r>
    </w:p>
    <w:p>
      <w:pPr>
        <w:pStyle w:val="Heading2"/>
      </w:pPr>
      <w:r>
        <w:t>4.5 Workflow/DAG Runtime</w:t>
      </w:r>
    </w:p>
    <w:p>
      <w:r>
        <w:t>管理节点依赖、分支、并发、重试、超时、检查点、补偿和节点状态。计划执行与长期目标状态分别持久化。</w:t>
      </w:r>
    </w:p>
    <w:p>
      <w:pPr>
        <w:pStyle w:val="Heading2"/>
      </w:pPr>
      <w:r>
        <w:t>4.6 ReAct Runtime</w:t>
      </w:r>
    </w:p>
    <w:p>
      <w:r>
        <w:t>执行局部动态循环：观察 → 选择一个动作 → 经 Action Guard 校验 → 执行 → 观察 → 验收/继续/停止。每轮受步数、时间、预算和工具白名单约束。</w:t>
      </w:r>
    </w:p>
    <w:p>
      <w:pPr>
        <w:pStyle w:val="Heading2"/>
      </w:pPr>
      <w:r>
        <w:t>4.7 Tool Registry / Tool Gateway</w:t>
      </w:r>
    </w:p>
    <w:p>
      <w:r>
        <w:t>每个工具有 ID、版本、输入/输出 Schema、权限、风险等级、超时、幂等策略、成本估算、健康状态和 contract tests。模型不能直接调用未注册工具。</w:t>
      </w:r>
    </w:p>
    <w:p>
      <w:pPr>
        <w:pStyle w:val="Heading2"/>
      </w:pPr>
      <w:r>
        <w:t>4.8 Expert Registry</w:t>
      </w:r>
    </w:p>
    <w:p>
      <w:r>
        <w:t>每个专家声明领域、能力、工具、技能、工作流、记忆命名空间、模型偏好、评测集和版本。领域专家不得直接修改全局安全与发布门禁。</w:t>
      </w:r>
    </w:p>
    <w:p>
      <w:pPr>
        <w:pStyle w:val="Heading2"/>
      </w:pPr>
      <w:r>
        <w:t>4.9 Context &amp; Memory Manager</w:t>
      </w:r>
    </w:p>
    <w:p>
      <w:r>
        <w:t>按用户、项目、领域、会话和任务管理不同上下文；构建当前模型上下文时进行检索、压缩、去重和冲突处理。摘要保留来源引用、更新时间和不确定性。</w:t>
      </w:r>
    </w:p>
    <w:p>
      <w:pPr>
        <w:pStyle w:val="Heading2"/>
      </w:pPr>
      <w:r>
        <w:t>4.10 GECO / Event Store</w:t>
      </w:r>
    </w:p>
    <w:p>
      <w:r>
        <w:t>记录任务、运行、节点、工具、模型、版本、成本、错误、恢复和验收事件。事件先本地持久化；日志本身不作为可信命令。</w:t>
      </w:r>
    </w:p>
    <w:p>
      <w:pPr>
        <w:pStyle w:val="Heading2"/>
      </w:pPr>
      <w:r>
        <w:t>4.11 RERA / Recovery Manager</w:t>
      </w:r>
    </w:p>
    <w:p>
      <w:r>
        <w:t>对超时、网络错误、工具失败、状态不确定和部分完成进行分类，决定重试、查询外部状态、补偿、请求用户确认或停止。对非幂等外部操作不得盲目重放。</w:t>
      </w:r>
    </w:p>
    <w:p>
      <w:pPr>
        <w:pStyle w:val="Heading2"/>
      </w:pPr>
      <w:r>
        <w:t>4.12 APRO / Resource Scheduler</w:t>
      </w:r>
    </w:p>
    <w:p>
      <w:r>
        <w:t>管理模型、并发、CPU/内存、费用和后台任务配额。保护前台交互和必要安全维护；不突破用户预算。</w:t>
      </w:r>
    </w:p>
    <w:p>
      <w:pPr>
        <w:pStyle w:val="Heading2"/>
      </w:pPr>
      <w:r>
        <w:t>4.13 Diagnostics</w:t>
      </w:r>
    </w:p>
    <w:p>
      <w:r>
        <w:t>从证据形成根因假设与可验证改进建议。必须区分模型、规划、工具、适配器、供应商、网络、权限、环境和验收失败；诊断不直接修改稳定生产资产。</w:t>
      </w:r>
    </w:p>
    <w:p>
      <w:pPr>
        <w:pStyle w:val="Heading2"/>
      </w:pPr>
      <w:r>
        <w:t>4.14 QEEG / Evaluator</w:t>
      </w:r>
    </w:p>
    <w:p>
      <w:r>
        <w:t>对任务结果、候选技能、工作流和模型档案进行独立验收。测试集、门槛和基线由受保护机制管理，候选不得自行修改。</w:t>
      </w:r>
    </w:p>
    <w:p>
      <w:pPr>
        <w:pStyle w:val="Heading2"/>
      </w:pPr>
      <w:r>
        <w:t>4.15 KCLG / Asset Governance</w:t>
      </w:r>
    </w:p>
    <w:p>
      <w:r>
        <w:t>管理知识、技能、工具、工作流、专家、评测集和版本资产；维护来源、生命周期、依赖图、适用范围、重复检测、过期与退役策略。</w:t>
      </w:r>
    </w:p>
    <w:p>
      <w:pPr>
        <w:pStyle w:val="Heading2"/>
      </w:pPr>
      <w:r>
        <w:t>4.16 SELCIA / Promotion &amp; Release Controller</w:t>
      </w:r>
    </w:p>
    <w:p>
      <w:r>
        <w:t>把通过评测且获准的候选转成不可变发布版本；管理签名/摘要、兼容范围、灰度、健康观察、晋级和回滚。缩写正式释义需与原专项核验。</w:t>
      </w:r>
    </w:p>
    <w:p>
      <w:pPr>
        <w:pStyle w:val="Heading2"/>
      </w:pPr>
      <w:r>
        <w:t>4.17 TSEG / Policy Gate</w:t>
      </w:r>
    </w:p>
    <w:p>
      <w:r>
        <w:t>统一风险、权限、隐私、授权和动作策略。高风险动作按具体对象、范围、效果和预算检查；不接受由模型自我授予权限。</w:t>
      </w:r>
    </w:p>
    <w:p>
      <w:pPr>
        <w:pStyle w:val="Heading2"/>
      </w:pPr>
      <w:r>
        <w:t>4.18 AGIG Opportunity Detector</w:t>
      </w:r>
    </w:p>
    <w:p>
      <w:r>
        <w:t>从运行失败、质量退化、成本异常、资产缺口和用户长期目标发现机会。机会不是已授权任务，必须经价值、证据和权限检查。</w:t>
      </w:r>
    </w:p>
    <w:p>
      <w:pPr>
        <w:pStyle w:val="Heading1"/>
      </w:pPr>
      <w:r>
        <w:t>5. 控制权规则</w:t>
      </w:r>
    </w:p>
    <w:p>
      <w:pPr>
        <w:pStyle w:val="ListBullet"/>
      </w:pPr>
      <w:r>
        <w:t>Router 决定候选领域与执行路径，不负责工具执行。</w:t>
      </w:r>
    </w:p>
    <w:p>
      <w:pPr>
        <w:pStyle w:val="ListBullet"/>
      </w:pPr>
      <w:r>
        <w:t>Planner 决定计划，不负责批准权限。</w:t>
      </w:r>
    </w:p>
    <w:p>
      <w:pPr>
        <w:pStyle w:val="ListBullet"/>
      </w:pPr>
      <w:r>
        <w:t>DAG Runtime 拥有节点状态的唯一写入权。</w:t>
      </w:r>
    </w:p>
    <w:p>
      <w:pPr>
        <w:pStyle w:val="ListBullet"/>
      </w:pPr>
      <w:r>
        <w:t>Goal Registry 拥有长期目标状态的唯一写入权。</w:t>
      </w:r>
    </w:p>
    <w:p>
      <w:pPr>
        <w:pStyle w:val="ListBullet"/>
      </w:pPr>
      <w:r>
        <w:t>Action Guard/TSEG 拥有动作允许/拒绝的最终策略权。</w:t>
      </w:r>
    </w:p>
    <w:p>
      <w:pPr>
        <w:pStyle w:val="ListBullet"/>
      </w:pPr>
      <w:r>
        <w:t>RERA 拥有恢复策略编排权，但不得覆盖用户取消或安全拒绝。</w:t>
      </w:r>
    </w:p>
    <w:p>
      <w:pPr>
        <w:pStyle w:val="ListBullet"/>
      </w:pPr>
      <w:r>
        <w:t>APRO 决定资源分配，不改变目标的授权范围。</w:t>
      </w:r>
    </w:p>
    <w:p>
      <w:pPr>
        <w:pStyle w:val="ListBullet"/>
      </w:pPr>
      <w:r>
        <w:t>QEEG 判断质量门槛是否通过，不批准自身门槛变更。</w:t>
      </w:r>
    </w:p>
    <w:p>
      <w:pPr>
        <w:pStyle w:val="ListBullet"/>
      </w:pPr>
      <w:r>
        <w:t>SELCIA 管理正式版本指针，不生成自己的质量证据。</w:t>
      </w:r>
    </w:p>
    <w:p>
      <w:pPr>
        <w:pStyle w:val="ListBullet"/>
      </w:pPr>
      <w:r>
        <w:t>KCLG 管理资产元数据和生命周期，不绕过发布门禁。</w:t>
      </w:r>
    </w:p>
    <w:p>
      <w:pPr>
        <w:pStyle w:val="ListBullet"/>
      </w:pPr>
      <w:r>
        <w:t>GECO 记录事实，不作为状态恢复的唯一依据。</w:t>
      </w:r>
    </w:p>
    <w:p>
      <w:pPr>
        <w:pStyle w:val="ListBullet"/>
      </w:pPr>
      <w:r>
        <w:t>用户取消/权限撤销优先于普通规划和后台进化。</w:t>
      </w:r>
    </w:p>
    <w:p>
      <w:pPr>
        <w:pStyle w:val="Heading1"/>
      </w:pPr>
      <w:r>
        <w:t>6. 核心数据契约</w:t>
      </w:r>
    </w:p>
    <w:p>
      <w:pPr>
        <w:pStyle w:val="Heading2"/>
      </w:pPr>
      <w:r>
        <w:t>6.1 Task</w:t>
      </w:r>
    </w:p>
    <w:p>
      <w:pPr>
        <w:spacing w:after="120"/>
        <w:ind w:left="360"/>
      </w:pPr>
      <w:r>
        <w:rPr>
          <w:rFonts w:ascii="Consolas" w:hAnsi="Consolas" w:eastAsia="Microsoft YaHei"/>
          <w:sz w:val="16"/>
        </w:rPr>
        <w:t>{</w:t>
        <w:br/>
        <w:t xml:space="preserve">  "task_id": "uuid",</w:t>
        <w:br/>
        <w:t xml:space="preserve">  "goal_id": "uuid",</w:t>
        <w:br/>
        <w:t xml:space="preserve">  "project_id": "optional",</w:t>
        <w:br/>
        <w:t xml:space="preserve">  "origin": "user|scheduled|derived|opportunity",</w:t>
        <w:br/>
        <w:t xml:space="preserve">  "objective": "string",</w:t>
        <w:br/>
        <w:t xml:space="preserve">  "constraints": {},</w:t>
        <w:br/>
        <w:t xml:space="preserve">  "acceptance_contract_ref": "id/version",</w:t>
        <w:br/>
        <w:t xml:space="preserve">  "risk_class": "low|medium|high|critical",</w:t>
        <w:br/>
        <w:t xml:space="preserve">  "authorization_ref": "policy-id/version",</w:t>
        <w:br/>
        <w:t xml:space="preserve">  "budget_ref": "budget-id",</w:t>
        <w:br/>
        <w:t xml:space="preserve">  "status": "created|classified|planned|running|waiting_approval|recovering|verifying|succeeded|failed|cancelled|needs_user",</w:t>
        <w:br/>
        <w:t xml:space="preserve">  "runtime_manifest_id": "immutable-id",</w:t>
        <w:br/>
        <w:t xml:space="preserve">  "created_at": "RFC3339",</w:t>
        <w:br/>
        <w:t xml:space="preserve">  "updated_at": "RFC3339"</w:t>
        <w:br/>
        <w:t>}</w:t>
      </w:r>
    </w:p>
    <w:p>
      <w:pPr>
        <w:pStyle w:val="Heading2"/>
      </w:pPr>
      <w:r>
        <w:t>6.2 Runtime Event</w:t>
      </w:r>
    </w:p>
    <w:p>
      <w:pPr>
        <w:spacing w:after="120"/>
        <w:ind w:left="360"/>
      </w:pPr>
      <w:r>
        <w:rPr>
          <w:rFonts w:ascii="Consolas" w:hAnsi="Consolas" w:eastAsia="Microsoft YaHei"/>
          <w:sz w:val="16"/>
        </w:rPr>
        <w:t>{</w:t>
        <w:br/>
        <w:t xml:space="preserve">  "event_id": "uuid-or-ulid",</w:t>
        <w:br/>
        <w:t xml:space="preserve">  "task_id": "uuid",</w:t>
        <w:br/>
        <w:t xml:space="preserve">  "run_id": "uuid",</w:t>
        <w:br/>
        <w:t xml:space="preserve">  "sequence_no": 1,</w:t>
        <w:br/>
        <w:t xml:space="preserve">  "event_type": "task.started|tool.completed|task.failed",</w:t>
        <w:br/>
        <w:t xml:space="preserve">  "schema_version": "1.0",</w:t>
        <w:br/>
        <w:t xml:space="preserve">  "runtime_manifest_id": "immutable-id",</w:t>
        <w:br/>
        <w:t xml:space="preserve">  "created_at": "RFC3339",</w:t>
        <w:br/>
        <w:t xml:space="preserve">  "privacy_level": "public|internal|sensitive|restricted",</w:t>
        <w:br/>
        <w:t xml:space="preserve">  "payload_ref": "local-uri-or-inline-small-payload",</w:t>
        <w:br/>
        <w:t xml:space="preserve">  "sync_status": "pending|in_flight|acknowledged|quarantined"</w:t>
        <w:br/>
        <w:t>}</w:t>
      </w:r>
    </w:p>
    <w:p>
      <w:pPr>
        <w:pStyle w:val="Heading2"/>
      </w:pPr>
      <w:r>
        <w:t>6.3 Tool Contract</w:t>
      </w:r>
    </w:p>
    <w:p>
      <w:pPr>
        <w:spacing w:after="120"/>
        <w:ind w:left="360"/>
      </w:pPr>
      <w:r>
        <w:rPr>
          <w:rFonts w:ascii="Consolas" w:hAnsi="Consolas" w:eastAsia="Microsoft YaHei"/>
          <w:sz w:val="16"/>
        </w:rPr>
        <w:t>{</w:t>
        <w:br/>
        <w:t xml:space="preserve">  "tool_id": "string",</w:t>
        <w:br/>
        <w:t xml:space="preserve">  "version": "semver-or-immutable-revision",</w:t>
        <w:br/>
        <w:t xml:space="preserve">  "input_schema": {},</w:t>
        <w:br/>
        <w:t xml:space="preserve">  "output_schema": {},</w:t>
        <w:br/>
        <w:t xml:space="preserve">  "risk_class": "low|medium|high|critical",</w:t>
        <w:br/>
        <w:t xml:space="preserve">  "required_permissions": [],</w:t>
        <w:br/>
        <w:t xml:space="preserve">  "timeout_seconds": 30,</w:t>
        <w:br/>
        <w:t xml:space="preserve">  "idempotency": "idempotent|keyed|non_idempotent",</w:t>
        <w:br/>
        <w:t xml:space="preserve">  "cost_model": {},</w:t>
        <w:br/>
        <w:t xml:space="preserve">  "health_check_ref": "optional",</w:t>
        <w:br/>
        <w:t xml:space="preserve">  "contract_test_ref": "required"</w:t>
        <w:br/>
        <w:t>}</w:t>
      </w:r>
    </w:p>
    <w:p>
      <w:pPr>
        <w:pStyle w:val="Heading2"/>
      </w:pPr>
      <w:r>
        <w:t>6.4 Capability Asset</w:t>
      </w:r>
    </w:p>
    <w:p>
      <w:pPr>
        <w:spacing w:after="120"/>
        <w:ind w:left="360"/>
      </w:pPr>
      <w:r>
        <w:rPr>
          <w:rFonts w:ascii="Consolas" w:hAnsi="Consolas" w:eastAsia="Microsoft YaHei"/>
          <w:sz w:val="16"/>
        </w:rPr>
        <w:t>{</w:t>
        <w:br/>
        <w:t xml:space="preserve">  "asset_id": "stable-id",</w:t>
        <w:br/>
        <w:t xml:space="preserve">  "asset_type": "knowledge|skill|tool|workflow|expert|model_profile|evaluation_suite",</w:t>
        <w:br/>
        <w:t xml:space="preserve">  "namespace": "global|domain|project|task",</w:t>
        <w:br/>
        <w:t xml:space="preserve">  "version": "immutable-version",</w:t>
        <w:br/>
        <w:t xml:space="preserve">  "content_digest": "sha256",</w:t>
        <w:br/>
        <w:t xml:space="preserve">  "source_refs": [],</w:t>
        <w:br/>
        <w:t xml:space="preserve">  "dependency_refs": [],</w:t>
        <w:br/>
        <w:t xml:space="preserve">  "compatibility": {},</w:t>
        <w:br/>
        <w:t xml:space="preserve">  "lifecycle_state": "candidate|validating|approved|active|degraded|deprecated|retired",</w:t>
        <w:br/>
        <w:t xml:space="preserve">  "evaluation_evidence_refs": [],</w:t>
        <w:br/>
        <w:t xml:space="preserve">  "rollback_ref": "optional"</w:t>
        <w:br/>
        <w:t>}</w:t>
      </w:r>
    </w:p>
    <w:p>
      <w:pPr>
        <w:pStyle w:val="Heading2"/>
      </w:pPr>
      <w:r>
        <w:t>6.5 Goal</w:t>
      </w:r>
    </w:p>
    <w:p>
      <w:pPr>
        <w:spacing w:after="120"/>
        <w:ind w:left="360"/>
      </w:pPr>
      <w:r>
        <w:rPr>
          <w:rFonts w:ascii="Consolas" w:hAnsi="Consolas" w:eastAsia="Microsoft YaHei"/>
          <w:sz w:val="16"/>
        </w:rPr>
        <w:t>{</w:t>
        <w:br/>
        <w:t xml:space="preserve">  "goal_id": "uuid",</w:t>
        <w:br/>
        <w:t xml:space="preserve">  "goal_type": "explicit|long_term|derived|maintenance|opportunity",</w:t>
        <w:br/>
        <w:t xml:space="preserve">  "parent_goal_id": "optional",</w:t>
        <w:br/>
        <w:t xml:space="preserve">  "success_criteria": [],</w:t>
        <w:br/>
        <w:t xml:space="preserve">  "authorization_ref": "policy-id/version",</w:t>
        <w:br/>
        <w:t xml:space="preserve">  "budget_ref": "budget-id",</w:t>
        <w:br/>
        <w:t xml:space="preserve">  "deadline": "optional",</w:t>
        <w:br/>
        <w:t xml:space="preserve">  "expiry_policy": "condition",</w:t>
        <w:br/>
        <w:t xml:space="preserve">  "status": "proposed|ready|running|waiting|paused|blocked|review|completed|cancelled|expired",</w:t>
        <w:br/>
        <w:t xml:space="preserve">  "evidence_refs": []</w:t>
        <w:br/>
        <w:t>}</w:t>
      </w:r>
    </w:p>
    <w:p>
      <w:pPr>
        <w:pStyle w:val="Heading1"/>
      </w:pPr>
      <w:r>
        <w:t>7. 状态机边界</w:t>
      </w:r>
    </w:p>
    <w:p>
      <w:pPr>
        <w:pStyle w:val="ListBullet"/>
      </w:pPr>
      <w:r>
        <w:t>Task State：描述单次任务。</w:t>
      </w:r>
    </w:p>
    <w:p>
      <w:pPr>
        <w:pStyle w:val="ListBullet"/>
      </w:pPr>
      <w:r>
        <w:t>Node State：描述 DAG 节点。</w:t>
      </w:r>
    </w:p>
    <w:p>
      <w:pPr>
        <w:pStyle w:val="ListBullet"/>
      </w:pPr>
      <w:r>
        <w:t>Goal State：描述长期目标。</w:t>
      </w:r>
    </w:p>
    <w:p>
      <w:pPr>
        <w:pStyle w:val="ListBullet"/>
      </w:pPr>
      <w:r>
        <w:t>Sync State：描述事件同步。</w:t>
      </w:r>
    </w:p>
    <w:p>
      <w:pPr>
        <w:pStyle w:val="ListBullet"/>
      </w:pPr>
      <w:r>
        <w:t>Asset Lifecycle：描述能力资产生命周期。</w:t>
      </w:r>
    </w:p>
    <w:p>
      <w:pPr>
        <w:pStyle w:val="ListBullet"/>
      </w:pPr>
      <w:r>
        <w:t>Release State：描述版本发布、激活、健康观察与回滚。</w:t>
      </w:r>
    </w:p>
    <w:p>
      <w:pPr>
        <w:pStyle w:val="ListBullet"/>
      </w:pPr>
      <w:r>
        <w:t>Approval State：描述某个具体动作的审批结果。</w:t>
      </w:r>
    </w:p>
    <w:p>
      <w:r>
        <w:t>不同状态机通过 ID 和事件关联，不共用一个万能 status 字段。</w:t>
      </w:r>
    </w:p>
    <w:p>
      <w:pPr>
        <w:pStyle w:val="Heading1"/>
      </w:pPr>
      <w:r>
        <w:t>8. 版本与复现</w:t>
      </w:r>
    </w:p>
    <w:p>
      <w:r>
        <w:t>每次任务固定绑定不可变 Runtime Manifest，至少包括：</w:t>
      </w:r>
    </w:p>
    <w:p>
      <w:pPr>
        <w:pStyle w:val="ListBullet"/>
      </w:pPr>
      <w:r>
        <w:t>EvoAgent Core 版本；</w:t>
      </w:r>
    </w:p>
    <w:p>
      <w:pPr>
        <w:pStyle w:val="ListBullet"/>
      </w:pPr>
      <w:r>
        <w:t>Runtime/Harness Adapter 版本；</w:t>
      </w:r>
    </w:p>
    <w:p>
      <w:pPr>
        <w:pStyle w:val="ListBullet"/>
      </w:pPr>
      <w:r>
        <w:t>模型档案版本；</w:t>
      </w:r>
    </w:p>
    <w:p>
      <w:pPr>
        <w:pStyle w:val="ListBullet"/>
      </w:pPr>
      <w:r>
        <w:t>Router/Planner/Prompt 配置版本；</w:t>
      </w:r>
    </w:p>
    <w:p>
      <w:pPr>
        <w:pStyle w:val="ListBullet"/>
      </w:pPr>
      <w:r>
        <w:t>Tool Adapter 版本；</w:t>
      </w:r>
    </w:p>
    <w:p>
      <w:pPr>
        <w:pStyle w:val="ListBullet"/>
      </w:pPr>
      <w:r>
        <w:t>Workflow/Skill/Expert 版本；</w:t>
      </w:r>
    </w:p>
    <w:p>
      <w:pPr>
        <w:pStyle w:val="ListBullet"/>
      </w:pPr>
      <w:r>
        <w:t>Context Policy 版本；</w:t>
      </w:r>
    </w:p>
    <w:p>
      <w:pPr>
        <w:pStyle w:val="ListBullet"/>
      </w:pPr>
      <w:r>
        <w:t>Evaluation Suite 版本；</w:t>
      </w:r>
    </w:p>
    <w:p>
      <w:pPr>
        <w:pStyle w:val="ListBullet"/>
      </w:pPr>
      <w:r>
        <w:t>环境/依赖摘要。</w:t>
      </w:r>
    </w:p>
    <w:p>
      <w:r>
        <w:t>正式版本不得原地覆盖；变更生成新版本。候选、稳定与退役版本有明确引用，历史任务不自动漂移到最新版本。</w:t>
      </w:r>
    </w:p>
    <w:p>
      <w:pPr>
        <w:pStyle w:val="Heading1"/>
      </w:pPr>
      <w:r>
        <w:t>9. 离线与同步</w:t>
      </w:r>
    </w:p>
    <w:p>
      <w:pPr>
        <w:pStyle w:val="ListBullet"/>
      </w:pPr>
      <w:r>
        <w:t>关键事件先写入本地事务存储。</w:t>
      </w:r>
    </w:p>
    <w:p>
      <w:pPr>
        <w:pStyle w:val="ListBullet"/>
      </w:pPr>
      <w:r>
        <w:t>网络恢复后采用至少一次传输与幂等去重。</w:t>
      </w:r>
    </w:p>
    <w:p>
      <w:pPr>
        <w:pStyle w:val="ListBullet"/>
      </w:pPr>
      <w:r>
        <w:t>服务端 ACK 仅在持久化后返回。</w:t>
      </w:r>
    </w:p>
    <w:p>
      <w:pPr>
        <w:pStyle w:val="ListBullet"/>
      </w:pPr>
      <w:r>
        <w:t>部分成功明确返回已确认/未确认 ID。</w:t>
      </w:r>
    </w:p>
    <w:p>
      <w:pPr>
        <w:pStyle w:val="ListBullet"/>
      </w:pPr>
      <w:r>
        <w:t>附件单独上传并校验摘要。</w:t>
      </w:r>
    </w:p>
    <w:p>
      <w:pPr>
        <w:pStyle w:val="ListBullet"/>
      </w:pPr>
      <w:r>
        <w:t>诊断包导入隔离、校验、脱敏并审计。</w:t>
      </w:r>
    </w:p>
    <w:p>
      <w:pPr>
        <w:pStyle w:val="ListBullet"/>
      </w:pPr>
      <w:r>
        <w:t>同步不等于恢复；检查点与副作用账本独立。</w:t>
      </w:r>
    </w:p>
    <w:p>
      <w:pPr>
        <w:pStyle w:val="ListBullet"/>
      </w:pPr>
      <w:r>
        <w:t>版本分发与事件补传分离，互不阻塞。</w:t>
      </w:r>
    </w:p>
    <w:p>
      <w:pPr>
        <w:pStyle w:val="Heading1"/>
      </w:pPr>
      <w:r>
        <w:t>10. 评测与发布门禁</w:t>
      </w:r>
    </w:p>
    <w:p>
      <w:r>
        <w:t>最低评测维度：</w:t>
      </w:r>
    </w:p>
    <w:p>
      <w:pPr>
        <w:pStyle w:val="ListBullet"/>
      </w:pPr>
      <w:r>
        <w:t>任务成功率与验收质量；</w:t>
      </w:r>
    </w:p>
    <w:p>
      <w:pPr>
        <w:pStyle w:val="ListBullet"/>
      </w:pPr>
      <w:r>
        <w:t>工具调用正确性；</w:t>
      </w:r>
    </w:p>
    <w:p>
      <w:pPr>
        <w:pStyle w:val="ListBullet"/>
      </w:pPr>
      <w:r>
        <w:t>恢复成功率；</w:t>
      </w:r>
    </w:p>
    <w:p>
      <w:pPr>
        <w:pStyle w:val="ListBullet"/>
      </w:pPr>
      <w:r>
        <w:t>成本与时延；</w:t>
      </w:r>
    </w:p>
    <w:p>
      <w:pPr>
        <w:pStyle w:val="ListBullet"/>
      </w:pPr>
      <w:r>
        <w:t>安全/权限违规；</w:t>
      </w:r>
    </w:p>
    <w:p>
      <w:pPr>
        <w:pStyle w:val="ListBullet"/>
      </w:pPr>
      <w:r>
        <w:t>兼容性与回归；</w:t>
      </w:r>
    </w:p>
    <w:p>
      <w:pPr>
        <w:pStyle w:val="ListBullet"/>
      </w:pPr>
      <w:r>
        <w:t>失败注入结果；</w:t>
      </w:r>
    </w:p>
    <w:p>
      <w:pPr>
        <w:pStyle w:val="ListBullet"/>
      </w:pPr>
      <w:r>
        <w:t>运行环境与测试集可复现性。</w:t>
      </w:r>
    </w:p>
    <w:p>
      <w:r>
        <w:t>V0.1 默认不自动发布代码改动。先完成候选评测和人工批准；后续仅对明确 allowlist 的低风险配置开放自动晋级。</w:t>
      </w:r>
    </w:p>
    <w:p>
      <w:pPr>
        <w:pStyle w:val="Heading1"/>
      </w:pPr>
      <w:r>
        <w:t>11. V0.1 工程边界</w:t>
      </w:r>
    </w:p>
    <w:p>
      <w:pPr>
        <w:pStyle w:val="Heading2"/>
      </w:pPr>
      <w:r>
        <w:t>Must</w:t>
      </w:r>
    </w:p>
    <w:p>
      <w:pPr>
        <w:pStyle w:val="ListBullet"/>
      </w:pPr>
      <w:r>
        <w:t>Python 模块化单体；</w:t>
      </w:r>
    </w:p>
    <w:p>
      <w:pPr>
        <w:pStyle w:val="ListBullet"/>
      </w:pPr>
      <w:r>
        <w:t>SQLite + 文件系统；</w:t>
      </w:r>
    </w:p>
    <w:p>
      <w:pPr>
        <w:pStyle w:val="ListBullet"/>
      </w:pPr>
      <w:r>
        <w:t>任务状态机、Tool Registry、Action Guard；</w:t>
      </w:r>
    </w:p>
    <w:p>
      <w:pPr>
        <w:pStyle w:val="ListBullet"/>
      </w:pPr>
      <w:r>
        <w:t>受控 ReAct；</w:t>
      </w:r>
    </w:p>
    <w:p>
      <w:pPr>
        <w:pStyle w:val="ListBullet"/>
      </w:pPr>
      <w:r>
        <w:t>一个端到端任务场景；</w:t>
      </w:r>
    </w:p>
    <w:p>
      <w:pPr>
        <w:pStyle w:val="ListBullet"/>
      </w:pPr>
      <w:r>
        <w:t>Mock Runtime；</w:t>
      </w:r>
    </w:p>
    <w:p>
      <w:pPr>
        <w:pStyle w:val="ListBullet"/>
      </w:pPr>
      <w:r>
        <w:t>结构化事件；</w:t>
      </w:r>
    </w:p>
    <w:p>
      <w:pPr>
        <w:pStyle w:val="ListBullet"/>
      </w:pPr>
      <w:r>
        <w:t>最小检查点、取消、幂等与副作用状态；</w:t>
      </w:r>
    </w:p>
    <w:p>
      <w:pPr>
        <w:pStyle w:val="ListBullet"/>
      </w:pPr>
      <w:r>
        <w:t>结果验收、失败分类和有限恢复；</w:t>
      </w:r>
    </w:p>
    <w:p>
      <w:pPr>
        <w:pStyle w:val="ListBullet"/>
      </w:pPr>
      <w:r>
        <w:t>单元/集成/回归测试；</w:t>
      </w:r>
    </w:p>
    <w:p>
      <w:pPr>
        <w:pStyle w:val="ListBullet"/>
      </w:pPr>
      <w:r>
        <w:t>配置、启动、故障排查和可复现演示。</w:t>
      </w:r>
    </w:p>
    <w:p>
      <w:pPr>
        <w:pStyle w:val="Heading2"/>
      </w:pPr>
      <w:r>
        <w:t>Later</w:t>
      </w:r>
    </w:p>
    <w:p>
      <w:pPr>
        <w:pStyle w:val="ListBullet"/>
      </w:pPr>
      <w:r>
        <w:t>DAG 工作流平台；</w:t>
      </w:r>
    </w:p>
    <w:p>
      <w:pPr>
        <w:pStyle w:val="ListBullet"/>
      </w:pPr>
      <w:r>
        <w:t>专家注册与多领域路由；</w:t>
      </w:r>
    </w:p>
    <w:p>
      <w:pPr>
        <w:pStyle w:val="ListBullet"/>
      </w:pPr>
      <w:r>
        <w:t>完整记忆治理和跨会话检索；</w:t>
      </w:r>
    </w:p>
    <w:p>
      <w:pPr>
        <w:pStyle w:val="ListBullet"/>
      </w:pPr>
      <w:r>
        <w:t>主动目标 AGIG；</w:t>
      </w:r>
    </w:p>
    <w:p>
      <w:pPr>
        <w:pStyle w:val="ListBullet"/>
      </w:pPr>
      <w:r>
        <w:t>隔离进化实验；</w:t>
      </w:r>
    </w:p>
    <w:p>
      <w:pPr>
        <w:pStyle w:val="ListBullet"/>
      </w:pPr>
      <w:r>
        <w:t>Android 受控操作；</w:t>
      </w:r>
    </w:p>
    <w:p>
      <w:pPr>
        <w:pStyle w:val="ListBullet"/>
      </w:pPr>
      <w:r>
        <w:t>版本分发和双端同步；</w:t>
      </w:r>
    </w:p>
    <w:p>
      <w:pPr>
        <w:pStyle w:val="ListBullet"/>
      </w:pPr>
      <w:r>
        <w:t>AI 漫剧等复杂能力包；</w:t>
      </w:r>
    </w:p>
    <w:p>
      <w:pPr>
        <w:pStyle w:val="ListBullet"/>
      </w:pPr>
      <w:r>
        <w:t>低风险自动发布。</w:t>
      </w:r>
    </w:p>
    <w:p>
      <w:pPr>
        <w:pStyle w:val="Heading2"/>
      </w:pPr>
      <w:r>
        <w:t>Not allowed</w:t>
      </w:r>
    </w:p>
    <w:p>
      <w:pPr>
        <w:pStyle w:val="ListBullet"/>
      </w:pPr>
      <w:r>
        <w:t>模型直接执行未注册工具；</w:t>
      </w:r>
    </w:p>
    <w:p>
      <w:pPr>
        <w:pStyle w:val="ListBullet"/>
      </w:pPr>
      <w:r>
        <w:t>自主修改安全门禁；</w:t>
      </w:r>
    </w:p>
    <w:p>
      <w:pPr>
        <w:pStyle w:val="ListBullet"/>
      </w:pPr>
      <w:r>
        <w:t>候选直接写入稳定生产资产；</w:t>
      </w:r>
    </w:p>
    <w:p>
      <w:pPr>
        <w:pStyle w:val="ListBullet"/>
      </w:pPr>
      <w:r>
        <w:t>不确定外部副作用盲目重试；</w:t>
      </w:r>
    </w:p>
    <w:p>
      <w:pPr>
        <w:pStyle w:val="ListBullet"/>
      </w:pPr>
      <w:r>
        <w:t>未经授权上传原始对话/截图；</w:t>
      </w:r>
    </w:p>
    <w:p>
      <w:pPr>
        <w:pStyle w:val="ListBullet"/>
      </w:pPr>
      <w:r>
        <w:t>将单次成功当成已验证能力。</w:t>
      </w:r>
    </w:p>
    <w:p>
      <w:pPr>
        <w:pStyle w:val="Heading1"/>
      </w:pPr>
      <w:r>
        <w:t>12. 冻结与变更流程</w:t>
      </w:r>
    </w:p>
    <w:p>
      <w:pPr>
        <w:pStyle w:val="ListNumber"/>
      </w:pPr>
      <w:r>
        <w:t>新需求登记为 RFC/ADR。</w:t>
      </w:r>
    </w:p>
    <w:p>
      <w:pPr>
        <w:pStyle w:val="ListNumber"/>
      </w:pPr>
      <w:r>
        <w:t>指定受影响模块、接口、数据契约和兼容范围。</w:t>
      </w:r>
    </w:p>
    <w:p>
      <w:pPr>
        <w:pStyle w:val="ListNumber"/>
      </w:pPr>
      <w:r>
        <w:t>检查是否破坏稳定内核或领域隔离。</w:t>
      </w:r>
    </w:p>
    <w:p>
      <w:pPr>
        <w:pStyle w:val="ListNumber"/>
      </w:pPr>
      <w:r>
        <w:t>增加测试与迁移/回滚方案。</w:t>
      </w:r>
    </w:p>
    <w:p>
      <w:pPr>
        <w:pStyle w:val="ListNumber"/>
      </w:pPr>
      <w:r>
        <w:t>对候选版本运行独立评测。</w:t>
      </w:r>
    </w:p>
    <w:p>
      <w:pPr>
        <w:pStyle w:val="ListNumber"/>
      </w:pPr>
      <w:r>
        <w:t>审批通过后生成不可变版本。</w:t>
      </w:r>
    </w:p>
    <w:p>
      <w:pPr>
        <w:pStyle w:val="ListNumber"/>
      </w:pPr>
      <w:r>
        <w:t>灰度/观察并保留回滚。</w:t>
      </w:r>
    </w:p>
    <w:p>
      <w:pPr>
        <w:pStyle w:val="ListNumber"/>
      </w:pPr>
      <w:r>
        <w:t>更新架构索引与专项状态台账。</w:t>
      </w:r>
    </w:p>
    <w:p>
      <w:pPr>
        <w:pStyle w:val="Heading1"/>
      </w:pPr>
      <w:r>
        <w:t>13. 未决事项</w:t>
      </w:r>
    </w:p>
    <w:p>
      <w:pPr>
        <w:pStyle w:val="ListBullet"/>
      </w:pPr>
      <w:r>
        <w:t>AGIG/APRO/RERA/QEEG/KCLG/TSEG/SELCIA/GECO/HACCG 等缩写的正式名称、边界和责任人；</w:t>
      </w:r>
    </w:p>
    <w:p>
      <w:pPr>
        <w:pStyle w:val="ListBullet"/>
      </w:pPr>
      <w:r>
        <w:t>本地宿主优先的首发平台顺序；</w:t>
      </w:r>
    </w:p>
    <w:p>
      <w:pPr>
        <w:pStyle w:val="ListBullet"/>
      </w:pPr>
      <w:r>
        <w:t>Android 是否作为首发 UI 还是第二阶段 UI；</w:t>
      </w:r>
    </w:p>
    <w:p>
      <w:pPr>
        <w:pStyle w:val="ListBullet"/>
      </w:pPr>
      <w:r>
        <w:t>真实模型供应商和离线模型范围；</w:t>
      </w:r>
    </w:p>
    <w:p>
      <w:pPr>
        <w:pStyle w:val="ListBullet"/>
      </w:pPr>
      <w:r>
        <w:t>本地沙箱选型与跨平台安全边界；</w:t>
      </w:r>
    </w:p>
    <w:p>
      <w:pPr>
        <w:pStyle w:val="ListBullet"/>
      </w:pPr>
      <w:r>
        <w:t>专家/技能/工作流的正式资产 Schema；</w:t>
      </w:r>
    </w:p>
    <w:p>
      <w:pPr>
        <w:pStyle w:val="ListBullet"/>
      </w:pPr>
      <w:r>
        <w:t>记忆删除、来源传播和隐私保留策略的详细协议；</w:t>
      </w:r>
    </w:p>
    <w:p>
      <w:pPr>
        <w:pStyle w:val="ListBullet"/>
      </w:pPr>
      <w:r>
        <w:t>自动发布的第一批 allowlist 对象；</w:t>
      </w:r>
    </w:p>
    <w:p>
      <w:pPr>
        <w:pStyle w:val="ListBullet"/>
      </w:pPr>
      <w:r>
        <w:t>50+ 专项原稿逐项核对与版本溯源。</w:t>
      </w:r>
    </w:p>
    <w:p>
      <w:pPr>
        <w:pStyle w:val="Heading1"/>
      </w:pPr>
      <w:r>
        <w:t>14. 结论</w:t>
      </w:r>
    </w:p>
    <w:p>
      <w:r>
        <w:t>本基线优先冻结职责、控制权、核心状态、数据契约、安全边界和本地运行闭环。领域能力和工作流内容保持可扩展。所有专项原稿并入时，若与本基线冲突，必须记录来源、决策时间、适用部署分支和最终取舍，不得静默覆盖。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EvoAgent｜架构审计与设计汇编｜Draft v0.1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1E375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1E375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Microsoft YaHei"/>
      <w:b/>
      <w:bCs/>
      <w:color w:val="1E375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Microsoft YaHei"/>
      <w:color w:val="1E375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