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EvoAgent 术语表与专项映射</w:t>
      </w:r>
    </w:p>
    <w:p>
      <w:pPr>
        <w:jc w:val="center"/>
      </w:pPr>
      <w:r>
        <w:rPr>
          <w:color w:val="5A5A5A"/>
          <w:sz w:val="18"/>
        </w:rPr>
        <w:t>正式设计基线 1.0｜2026-10-20</w:t>
      </w:r>
    </w:p>
    <w:p>
      <w:pPr>
        <w:pStyle w:val="Heading1"/>
      </w:pPr>
      <w:r>
        <w:t>EvoAgent 术语表与状态约定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术语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定义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Task of Record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单次逻辑任务的唯一权威记录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Goal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长期目标、维护目标或主动机会；与一次 Task 分离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Run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一次具体执行过程或恢复尝试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Node Run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DAG 节点的一次执行实例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ReAct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受约束的观察—动作—再观察局部循环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Planner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将目标转换为计划，不拥有动作授权权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DAG Runtime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管理依赖、节点状态、分支、重试、检查点和恢复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Tool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有 Schema、权限、幂等和错误契约的原子操作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Skill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可复用的知识/策略/操作规则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Workflow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有输入输出契约、依赖、分支、审批和验收的可执行流程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Expert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领域能力组合，拥有领域资产和评测但受共享内核约束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Capability Pack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可安装、可验证、可升级和回滚的业务能力包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Harness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驱动局部模型循环、工具调用和上下文的运行机制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Runtime Manifest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固定一次运行实际使用的组件版本组合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Event/Trace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记录发生了什么的证据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保存任务恢复所需状态的快照/游标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Side-effect Ledger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记录外部副作用意图、提交、确认和对账状态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QEEG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质量工程与评测治理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KCLG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知识资产、技能生命周期与能力复用治理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AGIG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自主目标与主动性治理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APRO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自适应性能、资源调度与成本优化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CLEK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经验分层、用户习惯与领域知识隔离和晋升治理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ACMO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自适应上下文管理与优化：检索、压缩、ContextManifest、可信度和缓存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ARCBG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自适应推理深度与能力/预算治理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Runtime Controller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运行时受保护控制器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Evolution Controller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进化实验编排控制器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Evaluation Gate Controller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独立评测门禁控制器</w:t>
            </w:r>
          </w:p>
        </w:tc>
      </w:tr>
      <w:tr>
        <w:tc>
          <w:tcPr>
            <w:tcW w:type="dxa" w:w="5083"/>
          </w:tcPr>
          <w:p>
            <w:r>
              <w:rPr>
                <w:sz w:val="14"/>
              </w:rPr>
              <w:t>Release Controller</w:t>
            </w:r>
          </w:p>
        </w:tc>
        <w:tc>
          <w:tcPr>
            <w:tcW w:type="dxa" w:w="5083"/>
          </w:tcPr>
          <w:p>
            <w:r>
              <w:rPr>
                <w:sz w:val="14"/>
              </w:rPr>
              <w:t>正式版本发布、分发、晋级和回滚控制器</w:t>
            </w:r>
          </w:p>
        </w:tc>
      </w:tr>
    </w:tbl>
    <w:p/>
    <w:p>
      <w:pPr>
        <w:pStyle w:val="Heading1"/>
      </w:pPr>
      <w:r>
        <w:t>专项映射</w:t>
      </w:r>
    </w:p>
    <w:p>
      <w:pPr>
        <w:pStyle w:val="ListBullet"/>
      </w:pPr>
      <w:r>
        <w:t>CLEK（历史专项 37）：对应 M-01/M-02/M-03/M-08/M-09/M-10、C-11。</w:t>
      </w:r>
    </w:p>
    <w:p>
      <w:pPr>
        <w:pStyle w:val="ListBullet"/>
      </w:pPr>
      <w:r>
        <w:t>ACMO（历史专项 38）：对应 M-04/M-05/M-06/M-07。</w:t>
      </w:r>
    </w:p>
    <w:p>
      <w:pPr>
        <w:pStyle w:val="ListBullet"/>
      </w:pPr>
      <w:r>
        <w:t>ARCBG（历史专项 39）：对应 R-02/R-04/R-05/G-06/G-08/G-09。</w:t>
      </w:r>
    </w:p>
    <w:p>
      <w:pPr>
        <w:pStyle w:val="ListBullet"/>
      </w:pPr>
      <w:r>
        <w:t>APRO：对应 G-08/G-09，并横切模型网关与缓存。</w:t>
      </w:r>
    </w:p>
    <w:p>
      <w:pPr>
        <w:pStyle w:val="ListBullet"/>
      </w:pPr>
      <w:r>
        <w:t>QEEG：对应 E-05/E-06/E-09/E-11。</w:t>
      </w:r>
    </w:p>
    <w:p>
      <w:pPr>
        <w:pStyle w:val="ListBullet"/>
      </w:pPr>
      <w:r>
        <w:t>KCLG：对应 C-08/C-09/C-10/C-11。</w:t>
      </w:r>
    </w:p>
    <w:p>
      <w:pPr>
        <w:pStyle w:val="ListBullet"/>
      </w:pPr>
      <w:r>
        <w:t>AGIG：对应 G-01 至 G-10。</w:t>
      </w:r>
    </w:p>
    <w:p>
      <w:pPr>
        <w:pStyle w:val="Heading1"/>
      </w:pPr>
      <w:r>
        <w:t>状态约定</w:t>
      </w:r>
    </w:p>
    <w:p>
      <w:pPr>
        <w:pStyle w:val="ListBullet"/>
      </w:pPr>
      <w:r>
        <w:t>正式设计：模块职责、状态边界、数据契约、安全门禁和验收原则。</w:t>
      </w:r>
    </w:p>
    <w:p>
      <w:pPr>
        <w:pStyle w:val="ListBullet"/>
      </w:pPr>
      <w:r>
        <w:t>需 PoC 验证：依赖第三方 Runtime、模型 API、设备桥接或供应商行为的部分。</w:t>
      </w:r>
    </w:p>
    <w:p>
      <w:pPr>
        <w:pStyle w:val="ListBullet"/>
      </w:pPr>
      <w:r>
        <w:t>运行时配置：用户预算、工具许可、数据保留、模型供应商和宿主位置。</w:t>
      </w:r>
    </w:p>
    <w:p>
      <w:pPr>
        <w:pStyle w:val="ListBullet"/>
      </w:pPr>
      <w:r>
        <w:t>文档设计不等于代码已实现；实现状态以工程和自动化测试为准。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EvoAgent｜全量详细设计正式版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C3A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