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核心接口与数据契约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核心接口与数据契约正式规范</w:t>
      </w:r>
    </w:p>
    <w:p>
      <w:pPr>
        <w:pStyle w:val="Heading1"/>
      </w:pPr>
      <w:r>
        <w:t>1. 统一标识</w:t>
      </w:r>
    </w:p>
    <w:p>
      <w:pPr>
        <w:pStyle w:val="ListBullet"/>
      </w:pPr>
      <w:r>
        <w:t>`task_id`：用户目标的一次逻辑任务，创建后稳定。</w:t>
      </w:r>
    </w:p>
    <w:p>
      <w:pPr>
        <w:pStyle w:val="ListBullet"/>
      </w:pPr>
      <w:r>
        <w:t>`run_id`：一次具体执行过程或恢复尝试，关联父 run。</w:t>
      </w:r>
    </w:p>
    <w:p>
      <w:pPr>
        <w:pStyle w:val="ListBullet"/>
      </w:pPr>
      <w:r>
        <w:t>`node_run_id`：一次 DAG 节点执行。</w:t>
      </w:r>
    </w:p>
    <w:p>
      <w:pPr>
        <w:pStyle w:val="ListBullet"/>
      </w:pPr>
      <w:r>
        <w:t>`goal_id`：长期目标或维护目标。</w:t>
      </w:r>
    </w:p>
    <w:p>
      <w:pPr>
        <w:pStyle w:val="ListBullet"/>
      </w:pPr>
      <w:r>
        <w:t>`event_id`：全局唯一事件 ID，重试上传时不变。</w:t>
      </w:r>
    </w:p>
    <w:p>
      <w:pPr>
        <w:pStyle w:val="ListBullet"/>
      </w:pPr>
      <w:r>
        <w:t>`batch_id`：同步批次 ID。</w:t>
      </w:r>
    </w:p>
    <w:p>
      <w:pPr>
        <w:pStyle w:val="ListBullet"/>
      </w:pPr>
      <w:r>
        <w:t>`runtime_manifest_id`：不可变运行组件组合。</w:t>
      </w:r>
    </w:p>
    <w:p>
      <w:pPr>
        <w:pStyle w:val="ListBullet"/>
      </w:pPr>
      <w:r>
        <w:t>`asset_id + version`：能力资产稳定身份与不可变版本。</w:t>
      </w:r>
    </w:p>
    <w:p>
      <w:pPr>
        <w:pStyle w:val="ListBullet"/>
      </w:pPr>
      <w:r>
        <w:t>`approval_id`：绑定具体动作摘要的授权记录。</w:t>
      </w:r>
    </w:p>
    <w:p>
      <w:pPr>
        <w:pStyle w:val="ListBullet"/>
      </w:pPr>
      <w:r>
        <w:t>`release_id`：正式发布清单 ID。</w:t>
      </w:r>
    </w:p>
    <w:p>
      <w:pPr>
        <w:pStyle w:val="Heading1"/>
      </w:pPr>
      <w:r>
        <w:t>2. Task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"task_id": "uuid",</w:t>
        <w:br/>
        <w:t xml:space="preserve">  "goal_id": "uuid-or-null",</w:t>
        <w:br/>
        <w:t xml:space="preserve">  "origin": "user|scheduled|derived|opportunity",</w:t>
        <w:br/>
        <w:t xml:space="preserve">  "objective": "string",</w:t>
        <w:br/>
        <w:t xml:space="preserve">  "constraints": {},</w:t>
        <w:br/>
        <w:t xml:space="preserve">  "acceptance_contract_ref": "id/version",</w:t>
        <w:br/>
        <w:t xml:space="preserve">  "risk_class": "low|medium|high|critical",</w:t>
        <w:br/>
        <w:t xml:space="preserve">  "authorization_ref": "policy-id/version",</w:t>
        <w:br/>
        <w:t xml:space="preserve">  "budget_ref": "budget-id",</w:t>
        <w:br/>
        <w:t xml:space="preserve">  "status": "created|classified|planned|running|waiting_approval|recovering|verifying|succeeded|failed|cancelled|needs_user",</w:t>
        <w:br/>
        <w:t xml:space="preserve">  "runtime_manifest_id": "immutable-id",</w:t>
        <w:br/>
        <w:t xml:space="preserve">  "idempotency_key": "string",</w:t>
        <w:br/>
        <w:t xml:space="preserve">  "created_at": "RFC3339",</w:t>
        <w:br/>
        <w:t xml:space="preserve">  "updated_at": "RFC3339"</w:t>
        <w:br/>
        <w:t>}</w:t>
      </w:r>
    </w:p>
    <w:p>
      <w:pPr>
        <w:pStyle w:val="Heading1"/>
      </w:pPr>
      <w:r>
        <w:t>3. Runtime Event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"event_id": "uuid-or-ulid",</w:t>
        <w:br/>
        <w:t xml:space="preserve">  "task_id": "uuid",</w:t>
        <w:br/>
        <w:t xml:space="preserve">  "run_id": "uuid",</w:t>
        <w:br/>
        <w:t xml:space="preserve">  "sequence_no": 1,</w:t>
        <w:br/>
        <w:t xml:space="preserve">  "event_type": "task.started|tool.completed|task.failed",</w:t>
        <w:br/>
        <w:t xml:space="preserve">  "schema_version": "1.0",</w:t>
        <w:br/>
        <w:t xml:space="preserve">  "runtime_manifest_id": "immutable-id",</w:t>
        <w:br/>
        <w:t xml:space="preserve">  "created_at": "RFC3339",</w:t>
        <w:br/>
        <w:t xml:space="preserve">  "privacy_level": "public|internal|sensitive|restricted",</w:t>
        <w:br/>
        <w:t xml:space="preserve">  "payload_ref": "local-uri-or-inline-small-payload",</w:t>
        <w:br/>
        <w:t xml:space="preserve">  "sync_status": "pending|in_flight|acknowledged|quarantined"</w:t>
        <w:br/>
        <w:t>}</w:t>
      </w:r>
    </w:p>
    <w:p>
      <w:pPr>
        <w:pStyle w:val="Heading1"/>
      </w:pPr>
      <w:r>
        <w:t>4. Tool Contract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"tool_id": "stable-name",</w:t>
        <w:br/>
        <w:t xml:space="preserve">  "version": "immutable-version",</w:t>
        <w:br/>
        <w:t xml:space="preserve">  "input_schema": {},</w:t>
        <w:br/>
        <w:t xml:space="preserve">  "output_schema": {},</w:t>
        <w:br/>
        <w:t xml:space="preserve">  "risk_class": "low|medium|high|critical",</w:t>
        <w:br/>
        <w:t xml:space="preserve">  "required_permissions": [],</w:t>
        <w:br/>
        <w:t xml:space="preserve">  "timeout_seconds": 30,</w:t>
        <w:br/>
        <w:t xml:space="preserve">  "idempotency": "idempotent|keyed|non_idempotent",</w:t>
        <w:br/>
        <w:t xml:space="preserve">  "offline_capable": false,</w:t>
        <w:br/>
        <w:t xml:space="preserve">  "requires_network": true,</w:t>
        <w:br/>
        <w:t xml:space="preserve">  "cost_model": {},</w:t>
        <w:br/>
        <w:t xml:space="preserve">  "health_check_ref": "optional",</w:t>
        <w:br/>
        <w:t xml:space="preserve">  "contract_test_ref": "required"</w:t>
        <w:br/>
        <w:t>}</w:t>
      </w:r>
    </w:p>
    <w:p>
      <w:pPr>
        <w:pStyle w:val="Heading1"/>
      </w:pPr>
      <w:r>
        <w:t>5. Runtime Manifest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"runtime_manifest_id": "immutable-id",</w:t>
        <w:br/>
        <w:t xml:space="preserve">  "created_at": "RFC3339",</w:t>
        <w:br/>
        <w:t xml:space="preserve">  "app_version": "version",</w:t>
        <w:br/>
        <w:t xml:space="preserve">  "core_version": "version",</w:t>
        <w:br/>
        <w:t xml:space="preserve">  "runtime_adapter": {"name": "mock|dsh|native", "version": "pinned"},</w:t>
        <w:br/>
        <w:t xml:space="preserve">  "model_profile_ref": "id/version",</w:t>
        <w:br/>
        <w:t xml:space="preserve">  "router_policy_ref": "id/version",</w:t>
        <w:br/>
        <w:t xml:space="preserve">  "context_policy_ref": "id/version",</w:t>
        <w:br/>
        <w:t xml:space="preserve">  "expert_ref": "id/version",</w:t>
        <w:br/>
        <w:t xml:space="preserve">  "workflow_ref": "id/version-or-null",</w:t>
        <w:br/>
        <w:t xml:space="preserve">  "tool_versions": [],</w:t>
        <w:br/>
        <w:t xml:space="preserve">  "evaluation_suite_ref": "id/version",</w:t>
        <w:br/>
        <w:t xml:space="preserve">  "environment_digest": "sha256"</w:t>
        <w:br/>
        <w:t>}</w:t>
      </w:r>
    </w:p>
    <w:p>
      <w:pPr>
        <w:pStyle w:val="Heading1"/>
      </w:pPr>
      <w:r>
        <w:t>6. Capability Asset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"asset_id": "stable-id",</w:t>
        <w:br/>
        <w:t xml:space="preserve">  "asset_type": "knowledge|skill|tool|workflow|expert|capability_pack|model_profile|evaluation_suite",</w:t>
        <w:br/>
        <w:t xml:space="preserve">  "namespace": "protected_core|shared_validated|domain_private|project|task",</w:t>
        <w:br/>
        <w:t xml:space="preserve">  "version": "immutable-version",</w:t>
        <w:br/>
        <w:t xml:space="preserve">  "content_digest": "sha256",</w:t>
        <w:br/>
        <w:t xml:space="preserve">  "source_refs": [],</w:t>
        <w:br/>
        <w:t xml:space="preserve">  "dependency_refs": [],</w:t>
        <w:br/>
        <w:t xml:space="preserve">  "compatibility": {},</w:t>
        <w:br/>
        <w:t xml:space="preserve">  "lifecycle_state": "draft|candidate|validating|approved|active|degraded|deprecated|retired",</w:t>
        <w:br/>
        <w:t xml:space="preserve">  "evaluation_evidence_refs": [],</w:t>
        <w:br/>
        <w:t xml:space="preserve">  "rollback_ref": "optional"</w:t>
        <w:br/>
        <w:t>}</w:t>
      </w:r>
    </w:p>
    <w:p>
      <w:pPr>
        <w:pStyle w:val="Heading1"/>
      </w:pPr>
      <w:r>
        <w:t>7. Goal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"goal_id": "uuid",</w:t>
        <w:br/>
        <w:t xml:space="preserve">  "goal_type": "explicit|long_term|derived|maintenance|opportunity",</w:t>
        <w:br/>
        <w:t xml:space="preserve">  "parent_goal_id": "optional",</w:t>
        <w:br/>
        <w:t xml:space="preserve">  "success_criteria": [],</w:t>
        <w:br/>
        <w:t xml:space="preserve">  "authorization_ref": "policy-id/version",</w:t>
        <w:br/>
        <w:t xml:space="preserve">  "budget_ref": "budget-id",</w:t>
        <w:br/>
        <w:t xml:space="preserve">  "deadline": "optional",</w:t>
        <w:br/>
        <w:t xml:space="preserve">  "no_progress_policy_ref": "policy-id/version",</w:t>
        <w:br/>
        <w:t xml:space="preserve">  "status": "proposed|ready|running|waiting|paused|blocked|review|completed|cancelled|expired",</w:t>
        <w:br/>
        <w:t xml:space="preserve">  "evidence_refs": []</w:t>
        <w:br/>
        <w:t>}</w:t>
      </w:r>
    </w:p>
    <w:p>
      <w:pPr>
        <w:pStyle w:val="Heading1"/>
      </w:pPr>
      <w:r>
        <w:t>8. Side-effect Ledger 契约</w:t>
      </w:r>
    </w:p>
    <w:p>
      <w:pPr>
        <w:ind w:left="288"/>
      </w:pPr>
      <w:r>
        <w:rPr>
          <w:rFonts w:ascii="Consolas" w:hAnsi="Consolas"/>
          <w:sz w:val="15"/>
        </w:rPr>
        <w:t>{</w:t>
        <w:br/>
        <w:t xml:space="preserve">  "effect_id": "uuid",</w:t>
        <w:br/>
        <w:t xml:space="preserve">  "task_id": "uuid",</w:t>
        <w:br/>
        <w:t xml:space="preserve">  "run_id": "uuid",</w:t>
        <w:br/>
        <w:t xml:space="preserve">  "tool_id": "stable-name",</w:t>
        <w:br/>
        <w:t xml:space="preserve">  "idempotency_key": "stable-key",</w:t>
        <w:br/>
        <w:t xml:space="preserve">  "effect_summary": "string",</w:t>
        <w:br/>
        <w:t xml:space="preserve">  "status": "planned|submitted|confirmed|failed|unknown|compensated",</w:t>
        <w:br/>
        <w:t xml:space="preserve">  "external_receipt_ref": "optional",</w:t>
        <w:br/>
        <w:t xml:space="preserve">  "last_reconciled_at": "RFC3339-or-null"</w:t>
        <w:br/>
        <w:t>}</w:t>
      </w:r>
    </w:p>
    <w:p>
      <w:pPr>
        <w:pStyle w:val="Heading1"/>
      </w:pPr>
      <w:r>
        <w:t>9. 同步回执</w:t>
      </w:r>
    </w:p>
    <w:p>
      <w:r>
        <w:t>服务端回执必须包括 batch_id、已持久化的 event IDs 或可验证连续范围、未确认/拒绝事件及原因、服务端持久化时间和协议版本。HTTP 成功或连接成功本身不等于同步成功。</w:t>
      </w:r>
    </w:p>
    <w:p>
      <w:pPr>
        <w:pStyle w:val="Heading1"/>
      </w:pPr>
      <w:r>
        <w:t>10. 错误返回</w:t>
      </w:r>
    </w:p>
    <w:p>
      <w:r>
        <w:t>统一错误对象至少包含 error_code、message、retryable、correlation_id、related_event_id、required_action 和 safe_to_repeat。safe_to_repeat=unknown 时必须先对账或人工确认。</w:t>
      </w:r>
    </w:p>
    <w:p>
      <w:pPr>
        <w:pStyle w:val="Heading1"/>
      </w:pPr>
      <w:r>
        <w:t>11. 版本兼容</w:t>
      </w:r>
    </w:p>
    <w:p>
      <w:r>
        <w:t>能力发布必须声明最低 App 版本、工具契约、权限要求、数据 Schema、模型能力要求、离线支持和回滚目标。缺失兼容声明的制品不得进入稳定通道。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