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观测诊断评测与进化 专项详细设计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专项详细设计｜04_观测诊断评测与进化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E-01｜运行事件与 Trace</w:t>
      </w:r>
    </w:p>
    <w:p>
      <w:r>
        <w:t>设计目标与范围</w:t>
      </w:r>
    </w:p>
    <w:p>
      <w:r>
        <w:t>记录 task/run/node/tool/model/asset 版本、成本、时延和结果。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验收目标：记录 task/run/node/tool/model/asset 版本、成本、时延和结果。验证至少覆盖正常路径、异常/边界输入、重启或重复请求（适用时）、权限/隐私拒绝和版本兼容；结果可由自动化测试或明确的人工验收步骤复现。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E-02｜统一故障分类与证据等级</w:t>
      </w:r>
    </w:p>
    <w:p>
      <w:r>
        <w:t>设计目标与范围</w:t>
      </w:r>
    </w:p>
    <w:p>
      <w:r>
        <w:t>区分规划、模型、工具、供应商、网络、权限、预算和验收故障。</w:t>
      </w:r>
    </w:p>
    <w:p>
      <w:r>
        <w:t>正式设计决策</w:t>
      </w:r>
    </w:p>
    <w:p>
      <w:r>
        <w:t>采用 L1-L5 影响/归因层级与 E0-E3 证据等级；证据不足标记 unknown，不凭单次失败自动改生产。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区分规划、模型、工具、供应商、网络、权限、预算和验收故障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E-03｜诊断与执行解耦</w:t>
      </w:r>
    </w:p>
    <w:p>
      <w:r>
        <w:t>设计目标与范围</w:t>
      </w:r>
    </w:p>
    <w:p>
      <w:r>
        <w:t>分析根因并提出改进，不在生产路径直接修改。</w:t>
      </w:r>
    </w:p>
    <w:p>
      <w:r>
        <w:t>正式设计决策</w:t>
      </w:r>
    </w:p>
    <w:p>
      <w:r>
        <w:t>诊断器只输出带证据的假设和实验计划；执行器只消费已发布资产。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验收目标：分析根因并提出改进，不在生产路径直接修改。验证至少覆盖正常路径、异常/边界输入、重启或重复请求（适用时）、权限/隐私拒绝和版本兼容；结果可由自动化测试或明确的人工验收步骤复现。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E-04｜工具健康与 Agent 能力分离</w:t>
      </w:r>
    </w:p>
    <w:p>
      <w:r>
        <w:t>设计目标与范围</w:t>
      </w:r>
    </w:p>
    <w:p>
      <w:r>
        <w:t>分开评估工具可用性和智能体任务能力。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验收目标：分开评估工具可用性和智能体任务能力。验证至少覆盖正常路径、异常/边界输入、重启或重复请求（适用时）、权限/隐私拒绝和版本兼容；结果可由自动化测试或明确的人工验收步骤复现。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E-05｜QEEG 质量工程与评测治理</w:t>
      </w:r>
    </w:p>
    <w:p>
      <w:r>
        <w:t>设计目标与范围</w:t>
      </w:r>
    </w:p>
    <w:p>
      <w:r>
        <w:t>独立验证任务质量、成功率、成本、时延、安全和兼容。</w:t>
      </w:r>
    </w:p>
    <w:p>
      <w:r>
        <w:t>正式设计决策</w:t>
      </w:r>
    </w:p>
    <w:p>
      <w:r>
        <w:t>评测集、门槛和基线受保护；候选不能自评、自改测试集或批准自身。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独立验证任务质量、成功率、成本、时延、安全和兼容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E-06｜评测集版本、覆盖与防泄漏</w:t>
      </w:r>
    </w:p>
    <w:p>
      <w:r>
        <w:t>设计目标与范围</w:t>
      </w:r>
    </w:p>
    <w:p>
      <w:r>
        <w:t>管理测试样本、标签、来源、难度、覆盖和保密。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验收目标：管理测试样本、标签、来源、难度、覆盖和保密。验证至少覆盖正常路径、异常/边界输入、重启或重复请求（适用时）、权限/隐私拒绝和版本兼容；结果可由自动化测试或明确的人工验收步骤复现。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E-07｜进化候选生成</w:t>
      </w:r>
    </w:p>
    <w:p>
      <w:r>
        <w:t>设计目标与范围</w:t>
      </w:r>
    </w:p>
    <w:p>
      <w:r>
        <w:t>从失败、成本异常、质量退化和能力缺口提出改进。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从失败、成本异常、质量退化和能力缺口提出改进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E-08｜隔离实验环境</w:t>
      </w:r>
    </w:p>
    <w:p>
      <w:r>
        <w:t>设计目标与范围</w:t>
      </w:r>
    </w:p>
    <w:p>
      <w:r>
        <w:t>隔离候选代码、配置、数据、凭证、网络和资源。</w:t>
      </w:r>
    </w:p>
    <w:p>
      <w:r>
        <w:t>正式设计决策</w:t>
      </w:r>
    </w:p>
    <w:p>
      <w:r>
        <w:t>候选在隔离环境运行，默认无生产秘密、生产写入权限和无限网络访问。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验收目标：隔离候选代码、配置、数据、凭证、网络和资源。验证至少覆盖正常路径、异常/边界输入、重启或重复请求（适用时）、权限/隐私拒绝和版本兼容；结果可由自动化测试或明确的人工验收步骤复现。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E-09｜发布晋级门禁</w:t>
      </w:r>
    </w:p>
    <w:p>
      <w:r>
        <w:t>设计目标与范围</w:t>
      </w:r>
    </w:p>
    <w:p>
      <w:r>
        <w:t>决定候选是否可发布、灰度、晋级或拒绝。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验收目标：决定候选是否可发布、灰度、晋级或拒绝。验证至少覆盖正常路径、异常/边界输入、重启或重复请求（适用时）、权限/隐私拒绝和版本兼容；结果可由自动化测试或明确的人工验收步骤复现。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E-10｜稳定轨道与候选轨道隔离</w:t>
      </w:r>
    </w:p>
    <w:p>
      <w:r>
        <w:t>设计目标与范围</w:t>
      </w:r>
    </w:p>
    <w:p>
      <w:r>
        <w:t>生产任务绑定稳定资产，实验在候选轨道执行。</w:t>
      </w:r>
    </w:p>
    <w:p>
      <w:r>
        <w:t>正式设计决策</w:t>
      </w:r>
    </w:p>
    <w:p>
      <w:r>
        <w:t>生产任务固定绑定稳定版本；候选只能经受保护发布控制器改变稳定指针。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验收目标：生产任务绑定稳定资产，实验在候选轨道执行。验证至少覆盖正常路径、异常/边界输入、重启或重复请求（适用时）、权限/隐私拒绝和版本兼容；结果可由自动化测试或明确的人工验收步骤复现。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E-11｜进化收益与退化评估</w:t>
      </w:r>
    </w:p>
    <w:p>
      <w:r>
        <w:t>设计目标与范围</w:t>
      </w:r>
    </w:p>
    <w:p>
      <w:r>
        <w:t>测量改进对质量、效率、恢复和稳定性的实际影响。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测量改进对质量、效率、恢复和稳定性的实际影响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E-12｜失败案例转回归资产</w:t>
      </w:r>
    </w:p>
    <w:p>
      <w:r>
        <w:t>设计目标与范围</w:t>
      </w:r>
    </w:p>
    <w:p>
      <w:r>
        <w:t>把真实失败转成可复现测试。</w:t>
      </w:r>
    </w:p>
    <w:p>
      <w:r>
        <w:t>正式设计决策</w:t>
      </w:r>
    </w:p>
    <w:p>
      <w:r>
        <w:t>诊断、评测和发布职责分离；证据不足时保持未知或候选状态，不自动改变稳定资产。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验收目标：把真实失败转成可复现测试。验证至少覆盖正常路径、异常/边界输入、重启或重复请求（适用时）、权限/隐私拒绝和版本兼容；结果可由自动化测试或明确的人工验收步骤复现。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E-13｜独立进化控制器</w:t>
      </w:r>
    </w:p>
    <w:p>
      <w:r>
        <w:t>设计目标与范围</w:t>
      </w:r>
    </w:p>
    <w:p>
      <w:r>
        <w:t>管理诊断队列、候选计划、实验预算、并发和停止条件。</w:t>
      </w:r>
    </w:p>
    <w:p>
      <w:r>
        <w:t>正式设计决策</w:t>
      </w:r>
    </w:p>
    <w:p>
      <w:r>
        <w:t>进化控制器负责实验编排，不拥有最终发布权；预算耗尽/无证据时停止。</w:t>
      </w:r>
    </w:p>
    <w:p>
      <w:r>
        <w:t>输入与输出契约</w:t>
      </w:r>
    </w:p>
    <w:p>
      <w:r>
        <w:t>输入：结构化事件、Runtime Manifest、评测集版本、稳定基线、候选差异和资源预算。输出：故障分类、根因假设、候选提案、评测报告和发布决策证据。</w:t>
      </w:r>
    </w:p>
    <w:p>
      <w:r>
        <w:t>标准处理流程</w:t>
      </w:r>
    </w:p>
    <w:p>
      <w:r>
        <w:t>采集证据 → 分类故障域 → 提出可反驳假设 → 构造隔离候选 → 运行评测 → 比较基线 → 门禁决策 → 线上观察。</w:t>
      </w:r>
    </w:p>
    <w:p>
      <w:r>
        <w:t>控制权与边界</w:t>
      </w:r>
    </w:p>
    <w:p>
      <w:r>
        <w:t>诊断器负责假设，QEEG 负责独立质量判断，Release Controller 负责发布。</w:t>
      </w:r>
    </w:p>
    <w:p>
      <w:r>
        <w:t>异常与恢复</w:t>
      </w:r>
    </w:p>
    <w:p>
      <w:r>
        <w:t>证据不足标记 unknown；环境不一致、样本不足或数据污染时评测无效，不得晋级。</w:t>
      </w:r>
    </w:p>
    <w:p>
      <w:r>
        <w:t>安全与架构不变量</w:t>
      </w:r>
    </w:p>
    <w:p>
      <w:r>
        <w:t>稳定执行、候选实验、独立评测和正式发布相互隔离；候选不能自批或修改门禁。</w:t>
      </w:r>
    </w:p>
    <w:p>
      <w:r>
        <w:t>验收标准</w:t>
      </w:r>
    </w:p>
    <w:p>
      <w:r>
        <w:t>验收目标：管理诊断队列、候选计划、实验预算、并发和停止条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