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05 自主目标与资源治理 专项详细设计</w:t>
      </w:r>
    </w:p>
    <w:p>
      <w:pPr>
        <w:jc w:val="center"/>
      </w:pPr>
      <w:r>
        <w:rPr>
          <w:color w:val="5A5A5A"/>
          <w:sz w:val="18"/>
        </w:rPr>
        <w:t>正式设计基线 1.0｜2026-10-20</w:t>
      </w:r>
    </w:p>
    <w:p>
      <w:pPr>
        <w:pStyle w:val="Heading1"/>
      </w:pPr>
      <w:r>
        <w:t>EvoAgent 专项详细设计｜05_自主目标与资源治理</w:t>
      </w:r>
    </w:p>
    <w:p>
      <w:r>
        <w:t>正式设计基线 1.0｜2026-10-20</w:t>
      </w:r>
    </w:p>
    <w:p>
      <w:r>
        <w:t>本卷是正式详细设计，不是原型草稿。所有模块遵循统一任务身份、不可变版本、最小权限、证据可追溯、独立验收和失败可恢复原则。</w:t>
      </w:r>
    </w:p>
    <w:p>
      <w:pPr>
        <w:pStyle w:val="Heading2"/>
      </w:pPr>
      <w:r>
        <w:t>G-01｜长期目标注册表</w:t>
      </w:r>
    </w:p>
    <w:p>
      <w:r>
        <w:t>设计目标与范围</w:t>
      </w:r>
    </w:p>
    <w:p>
      <w:r>
        <w:t>保存用户目标、维护目标、派生子目标和主动机会。</w:t>
      </w:r>
    </w:p>
    <w:p>
      <w:r>
        <w:t>正式设计决策</w:t>
      </w:r>
    </w:p>
    <w:p>
      <w:r>
        <w:t>Goal 表示长期目的，Task 表示一次执行；两者通过引用关联而不共享万能状态字段。</w:t>
      </w:r>
    </w:p>
    <w:p>
      <w:r>
        <w:t>输入与输出契约</w:t>
      </w:r>
    </w:p>
    <w:p>
      <w:r>
        <w:t>输入：目标来源、成功条件、授权、预算、期限、父目标、运行证据和资源压力。输出：Goal 状态、机会候选、优先级、预算分配和停止/复盘记录。</w:t>
      </w:r>
    </w:p>
    <w:p>
      <w:r>
        <w:t>标准处理流程</w:t>
      </w:r>
    </w:p>
    <w:p>
      <w:r>
        <w:t>注册目标 → 价值/风险评估 → 授权检查 → 排序与资源预留 → 创建任务 → 监控成本/进展 → 停止或复盘。</w:t>
      </w:r>
    </w:p>
    <w:p>
      <w:r>
        <w:t>控制权与边界</w:t>
      </w:r>
    </w:p>
    <w:p>
      <w:r>
        <w:t>AGIG 管目标，APRO 管资源，Runtime 执行；用户可以撤销授权。</w:t>
      </w:r>
    </w:p>
    <w:p>
      <w:r>
        <w:t>异常与恢复</w:t>
      </w:r>
    </w:p>
    <w:p>
      <w:r>
        <w:t>无进展、预算耗尽、授权失效或目标过期时暂停/终止；不能通过递归生成子目标规避停止。</w:t>
      </w:r>
    </w:p>
    <w:p>
      <w:r>
        <w:t>安全与架构不变量</w:t>
      </w:r>
    </w:p>
    <w:p>
      <w:r>
        <w:t>关键结果必须有来源、版本和验收证据；无法证明时明确标注未知，不把假设写成事实。</w:t>
      </w:r>
    </w:p>
    <w:p>
      <w:r>
        <w:t>验收标准</w:t>
      </w:r>
    </w:p>
    <w:p>
      <w:r>
        <w:t>验收目标：保存用户目标、维护目标、派生子目标和主动机会。验证至少覆盖正常路径、异常/边界输入、重启或重复请求（适用时）、权限/隐私拒绝和版本兼容；结果可由自动化测试或明确的人工验收步骤复现。</w:t>
      </w:r>
    </w:p>
    <w:p>
      <w:r>
        <w:t>实现约束与依赖</w:t>
      </w:r>
    </w:p>
    <w:p>
      <w:r>
        <w:t>本模块必须通过统一 task_id/run_id、版本清单、结构化事件和审计链关联运行；接口需声明版本、错误码、超时和幂等语义。变更范围通过能力依赖图确定，不能静默改变稳定版本。</w:t>
      </w:r>
    </w:p>
    <w:p>
      <w:r>
        <w:t>---</w:t>
      </w:r>
    </w:p>
    <w:p>
      <w:pPr>
        <w:pStyle w:val="Heading2"/>
      </w:pPr>
      <w:r>
        <w:t>G-02｜主动机会发现</w:t>
      </w:r>
    </w:p>
    <w:p>
      <w:r>
        <w:t>设计目标与范围</w:t>
      </w:r>
    </w:p>
    <w:p>
      <w:r>
        <w:t>从运行证据、质量退化和用户目标发现机会。</w:t>
      </w:r>
    </w:p>
    <w:p>
      <w:r>
        <w:t>正式设计决策</w:t>
      </w:r>
    </w:p>
    <w:p>
      <w:r>
        <w:t>机会发现只产生候选，不自动成为已授权任务。</w:t>
      </w:r>
    </w:p>
    <w:p>
      <w:r>
        <w:t>输入与输出契约</w:t>
      </w:r>
    </w:p>
    <w:p>
      <w:r>
        <w:t>输入：目标来源、成功条件、授权、预算、期限、父目标、运行证据和资源压力。输出：Goal 状态、机会候选、优先级、预算分配和停止/复盘记录。</w:t>
      </w:r>
    </w:p>
    <w:p>
      <w:r>
        <w:t>标准处理流程</w:t>
      </w:r>
    </w:p>
    <w:p>
      <w:r>
        <w:t>注册目标 → 价值/风险评估 → 授权检查 → 排序与资源预留 → 创建任务 → 监控成本/进展 → 停止或复盘。</w:t>
      </w:r>
    </w:p>
    <w:p>
      <w:r>
        <w:t>控制权与边界</w:t>
      </w:r>
    </w:p>
    <w:p>
      <w:r>
        <w:t>AGIG 管目标，APRO 管资源，Runtime 执行；用户可以撤销授权。</w:t>
      </w:r>
    </w:p>
    <w:p>
      <w:r>
        <w:t>异常与恢复</w:t>
      </w:r>
    </w:p>
    <w:p>
      <w:r>
        <w:t>无进展、预算耗尽、授权失效或目标过期时暂停/终止；不能通过递归生成子目标规避停止。</w:t>
      </w:r>
    </w:p>
    <w:p>
      <w:r>
        <w:t>安全与架构不变量</w:t>
      </w:r>
    </w:p>
    <w:p>
      <w:r>
        <w:t>关键结果必须有来源、版本和验收证据；无法证明时明确标注未知，不把假设写成事实。</w:t>
      </w:r>
    </w:p>
    <w:p>
      <w:r>
        <w:t>验收标准</w:t>
      </w:r>
    </w:p>
    <w:p>
      <w:r>
        <w:t>验收目标：从运行证据、质量退化和用户目标发现机会。验证至少覆盖正常路径、异常/边界输入、重启或重复请求（适用时）、权限/隐私拒绝和版本兼容；结果可由自动化测试或明确的人工验收步骤复现。</w:t>
      </w:r>
    </w:p>
    <w:p>
      <w:r>
        <w:t>实现约束与依赖</w:t>
      </w:r>
    </w:p>
    <w:p>
      <w:r>
        <w:t>本模块必须通过统一 task_id/run_id、版本清单、结构化事件和审计链关联运行；接口需声明版本、错误码、超时和幂等语义。变更范围通过能力依赖图确定，不能静默改变稳定版本。</w:t>
      </w:r>
    </w:p>
    <w:p>
      <w:r>
        <w:t>---</w:t>
      </w:r>
    </w:p>
    <w:p>
      <w:pPr>
        <w:pStyle w:val="Heading2"/>
      </w:pPr>
      <w:r>
        <w:t>G-03｜目标价值评估与排序</w:t>
      </w:r>
    </w:p>
    <w:p>
      <w:r>
        <w:t>设计目标与范围</w:t>
      </w:r>
    </w:p>
    <w:p>
      <w:r>
        <w:t>比较收益、证据、成本、风险、时效和机会成本。</w:t>
      </w:r>
    </w:p>
    <w:p>
      <w:r>
        <w:t>正式设计决策</w:t>
      </w:r>
    </w:p>
    <w:p>
      <w:r>
        <w:t>目标推进必须有授权、预算、截止/失效条件和无进展停止规则；主动发现不等于获准执行。</w:t>
      </w:r>
    </w:p>
    <w:p>
      <w:r>
        <w:t>输入与输出契约</w:t>
      </w:r>
    </w:p>
    <w:p>
      <w:r>
        <w:t>输入：目标来源、成功条件、授权、预算、期限、父目标、运行证据和资源压力。输出：Goal 状态、机会候选、优先级、预算分配和停止/复盘记录。</w:t>
      </w:r>
    </w:p>
    <w:p>
      <w:r>
        <w:t>标准处理流程</w:t>
      </w:r>
    </w:p>
    <w:p>
      <w:r>
        <w:t>注册目标 → 价值/风险评估 → 授权检查 → 排序与资源预留 → 创建任务 → 监控成本/进展 → 停止或复盘。</w:t>
      </w:r>
    </w:p>
    <w:p>
      <w:r>
        <w:t>控制权与边界</w:t>
      </w:r>
    </w:p>
    <w:p>
      <w:r>
        <w:t>AGIG 管目标，APRO 管资源，Runtime 执行；用户可以撤销授权。</w:t>
      </w:r>
    </w:p>
    <w:p>
      <w:r>
        <w:t>异常与恢复</w:t>
      </w:r>
    </w:p>
    <w:p>
      <w:r>
        <w:t>无进展、预算耗尽、授权失效或目标过期时暂停/终止；不能通过递归生成子目标规避停止。</w:t>
      </w:r>
    </w:p>
    <w:p>
      <w:r>
        <w:t>安全与架构不变量</w:t>
      </w:r>
    </w:p>
    <w:p>
      <w:r>
        <w:t>关键结果必须有来源、版本和验收证据；无法证明时明确标注未知，不把假设写成事实。</w:t>
      </w:r>
    </w:p>
    <w:p>
      <w:r>
        <w:t>验收标准</w:t>
      </w:r>
    </w:p>
    <w:p>
      <w:r>
        <w:t>验收目标：比较收益、证据、成本、风险、时效和机会成本。验证至少覆盖正常路径、异常/边界输入、重启或重复请求（适用时）、权限/隐私拒绝和版本兼容；结果可由自动化测试或明确的人工验收步骤复现。</w:t>
      </w:r>
    </w:p>
    <w:p>
      <w:r>
        <w:t>实现约束与依赖</w:t>
      </w:r>
    </w:p>
    <w:p>
      <w:r>
        <w:t>本模块必须通过统一 task_id/run_id、版本清单、结构化事件和审计链关联运行；接口需声明版本、错误码、超时和幂等语义。变更范围通过能力依赖图确定，不能静默改变稳定版本。</w:t>
      </w:r>
    </w:p>
    <w:p>
      <w:r>
        <w:t>---</w:t>
      </w:r>
    </w:p>
    <w:p>
      <w:pPr>
        <w:pStyle w:val="Heading2"/>
      </w:pPr>
      <w:r>
        <w:t>G-04｜自主等级与授权矩阵</w:t>
      </w:r>
    </w:p>
    <w:p>
      <w:r>
        <w:t>设计目标与范围</w:t>
      </w:r>
    </w:p>
    <w:p>
      <w:r>
        <w:t>建议、准备、沙箱、授权内执行和长期推进的权限分层。</w:t>
      </w:r>
    </w:p>
    <w:p>
      <w:r>
        <w:t>正式设计决策</w:t>
      </w:r>
    </w:p>
    <w:p>
      <w:r>
        <w:t>自主等级明确动作范围、预算、时限、审批和撤销；父目标不能被子目标扩大权限。</w:t>
      </w:r>
    </w:p>
    <w:p>
      <w:r>
        <w:t>输入与输出契约</w:t>
      </w:r>
    </w:p>
    <w:p>
      <w:r>
        <w:t>输入：目标来源、成功条件、授权、预算、期限、父目标、运行证据和资源压力。输出：Goal 状态、机会候选、优先级、预算分配和停止/复盘记录。</w:t>
      </w:r>
    </w:p>
    <w:p>
      <w:r>
        <w:t>标准处理流程</w:t>
      </w:r>
    </w:p>
    <w:p>
      <w:r>
        <w:t>注册目标 → 价值/风险评估 → 授权检查 → 排序与资源预留 → 创建任务 → 监控成本/进展 → 停止或复盘。</w:t>
      </w:r>
    </w:p>
    <w:p>
      <w:r>
        <w:t>控制权与边界</w:t>
      </w:r>
    </w:p>
    <w:p>
      <w:r>
        <w:t>AGIG 管目标，APRO 管资源，Runtime 执行；用户可以撤销授权。</w:t>
      </w:r>
    </w:p>
    <w:p>
      <w:r>
        <w:t>异常与恢复</w:t>
      </w:r>
    </w:p>
    <w:p>
      <w:r>
        <w:t>无进展、预算耗尽、授权失效或目标过期时暂停/终止；不能通过递归生成子目标规避停止。</w:t>
      </w:r>
    </w:p>
    <w:p>
      <w:r>
        <w:t>安全与架构不变量</w:t>
      </w:r>
    </w:p>
    <w:p>
      <w:r>
        <w:t>权限、隐私、预算和授权边界优先于任务完成率；策略不确定时拒绝或请求确认。</w:t>
      </w:r>
    </w:p>
    <w:p>
      <w:r>
        <w:t>验收标准</w:t>
      </w:r>
    </w:p>
    <w:p>
      <w:r>
        <w:t>验收目标：建议、准备、沙箱、授权内执行和长期推进的权限分层。验证至少覆盖正常路径、异常/边界输入、重启或重复请求（适用时）、权限/隐私拒绝和版本兼容；结果可由自动化测试或明确的人工验收步骤复现。</w:t>
      </w:r>
    </w:p>
    <w:p>
      <w:r>
        <w:t>实现约束与依赖</w:t>
      </w:r>
    </w:p>
    <w:p>
      <w:r>
        <w:t>本模块必须通过统一 task_id/run_id、版本清单、结构化事件和审计链关联运行；接口需声明版本、错误码、超时和幂等语义。变更范围通过能力依赖图确定，不能静默改变稳定版本。</w:t>
      </w:r>
    </w:p>
    <w:p>
      <w:r>
        <w:t>---</w:t>
      </w:r>
    </w:p>
    <w:p>
      <w:pPr>
        <w:pStyle w:val="Heading2"/>
      </w:pPr>
      <w:r>
        <w:t>G-05｜Goal 状态机</w:t>
      </w:r>
    </w:p>
    <w:p>
      <w:r>
        <w:t>设计目标与范围</w:t>
      </w:r>
    </w:p>
    <w:p>
      <w:r>
        <w:t>管理目标提出、运行、等待、暂停、阻塞、完成和过期。</w:t>
      </w:r>
    </w:p>
    <w:p>
      <w:r>
        <w:t>正式设计决策</w:t>
      </w:r>
    </w:p>
    <w:p>
      <w:r>
        <w:t>目标推进必须有授权、预算、截止/失效条件和无进展停止规则；主动发现不等于获准执行。</w:t>
      </w:r>
    </w:p>
    <w:p>
      <w:r>
        <w:t>输入与输出契约</w:t>
      </w:r>
    </w:p>
    <w:p>
      <w:r>
        <w:t>输入：目标来源、成功条件、授权、预算、期限、父目标、运行证据和资源压力。输出：Goal 状态、机会候选、优先级、预算分配和停止/复盘记录。</w:t>
      </w:r>
    </w:p>
    <w:p>
      <w:r>
        <w:t>标准处理流程</w:t>
      </w:r>
    </w:p>
    <w:p>
      <w:r>
        <w:t>注册目标 → 价值/风险评估 → 授权检查 → 排序与资源预留 → 创建任务 → 监控成本/进展 → 停止或复盘。</w:t>
      </w:r>
    </w:p>
    <w:p>
      <w:r>
        <w:t>控制权与边界</w:t>
      </w:r>
    </w:p>
    <w:p>
      <w:r>
        <w:t>AGIG 管目标，APRO 管资源，Runtime 执行；用户可以撤销授权。</w:t>
      </w:r>
    </w:p>
    <w:p>
      <w:r>
        <w:t>异常与恢复</w:t>
      </w:r>
    </w:p>
    <w:p>
      <w:r>
        <w:t>无进展、预算耗尽、授权失效或目标过期时暂停/终止；不能通过递归生成子目标规避停止。</w:t>
      </w:r>
    </w:p>
    <w:p>
      <w:r>
        <w:t>安全与架构不变量</w:t>
      </w:r>
    </w:p>
    <w:p>
      <w:r>
        <w:t>关键结果必须有来源、版本和验收证据；无法证明时明确标注未知，不把假设写成事实。</w:t>
      </w:r>
    </w:p>
    <w:p>
      <w:r>
        <w:t>验收标准</w:t>
      </w:r>
    </w:p>
    <w:p>
      <w:r>
        <w:t>验收目标：管理目标提出、运行、等待、暂停、阻塞、完成和过期。验证至少覆盖正常路径、异常/边界输入、重启或重复请求（适用时）、权限/隐私拒绝和版本兼容；结果可由自动化测试或明确的人工验收步骤复现。</w:t>
      </w:r>
    </w:p>
    <w:p>
      <w:r>
        <w:t>实现约束与依赖</w:t>
      </w:r>
    </w:p>
    <w:p>
      <w:r>
        <w:t>本模块必须通过统一 task_id/run_id、版本清单、结构化事件和审计链关联运行；接口需声明版本、错误码、超时和幂等语义。变更范围通过能力依赖图确定，不能静默改变稳定版本。</w:t>
      </w:r>
    </w:p>
    <w:p>
      <w:r>
        <w:t>---</w:t>
      </w:r>
    </w:p>
    <w:p>
      <w:pPr>
        <w:pStyle w:val="Heading2"/>
      </w:pPr>
      <w:r>
        <w:t>G-06｜无进展检测与停止控制器</w:t>
      </w:r>
    </w:p>
    <w:p>
      <w:r>
        <w:t>设计目标与范围</w:t>
      </w:r>
    </w:p>
    <w:p>
      <w:r>
        <w:t>识别循环、重复失败、收益递减、预算耗尽和目标失效。</w:t>
      </w:r>
    </w:p>
    <w:p>
      <w:r>
        <w:t>正式设计决策</w:t>
      </w:r>
    </w:p>
    <w:p>
      <w:r>
        <w:t>重复状态、无改善、超时、预算耗尽或授权失效触发暂停/停止，禁止无限递归生成目标。</w:t>
      </w:r>
    </w:p>
    <w:p>
      <w:r>
        <w:t>输入与输出契约</w:t>
      </w:r>
    </w:p>
    <w:p>
      <w:r>
        <w:t>输入：目标来源、成功条件、授权、预算、期限、父目标、运行证据和资源压力。输出：Goal 状态、机会候选、优先级、预算分配和停止/复盘记录。</w:t>
      </w:r>
    </w:p>
    <w:p>
      <w:r>
        <w:t>标准处理流程</w:t>
      </w:r>
    </w:p>
    <w:p>
      <w:r>
        <w:t>注册目标 → 价值/风险评估 → 授权检查 → 排序与资源预留 → 创建任务 → 监控成本/进展 → 停止或复盘。</w:t>
      </w:r>
    </w:p>
    <w:p>
      <w:r>
        <w:t>控制权与边界</w:t>
      </w:r>
    </w:p>
    <w:p>
      <w:r>
        <w:t>AGIG 管目标，APRO 管资源，Runtime 执行；用户可以撤销授权。</w:t>
      </w:r>
    </w:p>
    <w:p>
      <w:r>
        <w:t>异常与恢复</w:t>
      </w:r>
    </w:p>
    <w:p>
      <w:r>
        <w:t>无进展、预算耗尽、授权失效或目标过期时暂停/终止；不能通过递归生成子目标规避停止。</w:t>
      </w:r>
    </w:p>
    <w:p>
      <w:r>
        <w:t>安全与架构不变量</w:t>
      </w:r>
    </w:p>
    <w:p>
      <w:r>
        <w:t>关键结果必须有来源、版本和验收证据；无法证明时明确标注未知，不把假设写成事实。</w:t>
      </w:r>
    </w:p>
    <w:p>
      <w:r>
        <w:t>验收标准</w:t>
      </w:r>
    </w:p>
    <w:p>
      <w:r>
        <w:t>验收目标：识别循环、重复失败、收益递减、预算耗尽和目标失效。验证至少覆盖正常路径、异常/边界输入、重启或重复请求（适用时）、权限/隐私拒绝和版本兼容；结果可由自动化测试或明确的人工验收步骤复现。</w:t>
      </w:r>
    </w:p>
    <w:p>
      <w:r>
        <w:t>实现约束与依赖</w:t>
      </w:r>
    </w:p>
    <w:p>
      <w:r>
        <w:t>本模块必须通过统一 task_id/run_id、版本清单、结构化事件和审计链关联运行；接口需声明版本、错误码、超时和幂等语义。变更范围通过能力依赖图确定，不能静默改变稳定版本。</w:t>
      </w:r>
    </w:p>
    <w:p>
      <w:r>
        <w:t>---</w:t>
      </w:r>
    </w:p>
    <w:p>
      <w:pPr>
        <w:pStyle w:val="Heading2"/>
      </w:pPr>
      <w:r>
        <w:t>G-07｜递归子目标治理</w:t>
      </w:r>
    </w:p>
    <w:p>
      <w:r>
        <w:t>设计目标与范围</w:t>
      </w:r>
    </w:p>
    <w:p>
      <w:r>
        <w:t>管理拆分深度、数量、循环依赖和重复子目标。</w:t>
      </w:r>
    </w:p>
    <w:p>
      <w:r>
        <w:t>正式设计决策</w:t>
      </w:r>
    </w:p>
    <w:p>
      <w:r>
        <w:t>目标推进必须有授权、预算、截止/失效条件和无进展停止规则；主动发现不等于获准执行。</w:t>
      </w:r>
    </w:p>
    <w:p>
      <w:r>
        <w:t>输入与输出契约</w:t>
      </w:r>
    </w:p>
    <w:p>
      <w:r>
        <w:t>输入：目标来源、成功条件、授权、预算、期限、父目标、运行证据和资源压力。输出：Goal 状态、机会候选、优先级、预算分配和停止/复盘记录。</w:t>
      </w:r>
    </w:p>
    <w:p>
      <w:r>
        <w:t>标准处理流程</w:t>
      </w:r>
    </w:p>
    <w:p>
      <w:r>
        <w:t>注册目标 → 价值/风险评估 → 授权检查 → 排序与资源预留 → 创建任务 → 监控成本/进展 → 停止或复盘。</w:t>
      </w:r>
    </w:p>
    <w:p>
      <w:r>
        <w:t>控制权与边界</w:t>
      </w:r>
    </w:p>
    <w:p>
      <w:r>
        <w:t>AGIG 管目标，APRO 管资源，Runtime 执行；用户可以撤销授权。</w:t>
      </w:r>
    </w:p>
    <w:p>
      <w:r>
        <w:t>异常与恢复</w:t>
      </w:r>
    </w:p>
    <w:p>
      <w:r>
        <w:t>无进展、预算耗尽、授权失效或目标过期时暂停/终止；不能通过递归生成子目标规避停止。</w:t>
      </w:r>
    </w:p>
    <w:p>
      <w:r>
        <w:t>安全与架构不变量</w:t>
      </w:r>
    </w:p>
    <w:p>
      <w:r>
        <w:t>关键结果必须有来源、版本和验收证据；无法证明时明确标注未知，不把假设写成事实。</w:t>
      </w:r>
    </w:p>
    <w:p>
      <w:r>
        <w:t>验收标准</w:t>
      </w:r>
    </w:p>
    <w:p>
      <w:r>
        <w:t>验收目标：管理拆分深度、数量、循环依赖和重复子目标。验证至少覆盖正常路径、异常/边界输入、重启或重复请求（适用时）、权限/隐私拒绝和版本兼容；结果可由自动化测试或明确的人工验收步骤复现。</w:t>
      </w:r>
    </w:p>
    <w:p>
      <w:r>
        <w:t>实现约束与依赖</w:t>
      </w:r>
    </w:p>
    <w:p>
      <w:r>
        <w:t>本模块必须通过统一 task_id/run_id、版本清单、结构化事件和审计链关联运行；接口需声明版本、错误码、超时和幂等语义。变更范围通过能力依赖图确定，不能静默改变稳定版本。</w:t>
      </w:r>
    </w:p>
    <w:p>
      <w:r>
        <w:t>---</w:t>
      </w:r>
    </w:p>
    <w:p>
      <w:pPr>
        <w:pStyle w:val="Heading2"/>
      </w:pPr>
      <w:r>
        <w:t>G-08｜前台/后台资源调度</w:t>
      </w:r>
    </w:p>
    <w:p>
      <w:r>
        <w:t>设计目标与范围</w:t>
      </w:r>
    </w:p>
    <w:p>
      <w:r>
        <w:t>协调交互任务、长任务、同步、评测和进化实验。</w:t>
      </w:r>
    </w:p>
    <w:p>
      <w:r>
        <w:t>正式设计决策</w:t>
      </w:r>
    </w:p>
    <w:p>
      <w:r>
        <w:t>APRO 优先保障前台交互；后台同步、评测和进化可暂停/恢复并受资源上限约束。</w:t>
      </w:r>
    </w:p>
    <w:p>
      <w:r>
        <w:t>输入与输出契约</w:t>
      </w:r>
    </w:p>
    <w:p>
      <w:r>
        <w:t>输入：目标来源、成功条件、授权、预算、期限、父目标、运行证据和资源压力。输出：Goal 状态、机会候选、优先级、预算分配和停止/复盘记录。</w:t>
      </w:r>
    </w:p>
    <w:p>
      <w:r>
        <w:t>标准处理流程</w:t>
      </w:r>
    </w:p>
    <w:p>
      <w:r>
        <w:t>注册目标 → 价值/风险评估 → 授权检查 → 排序与资源预留 → 创建任务 → 监控成本/进展 → 停止或复盘。</w:t>
      </w:r>
    </w:p>
    <w:p>
      <w:r>
        <w:t>控制权与边界</w:t>
      </w:r>
    </w:p>
    <w:p>
      <w:r>
        <w:t>AGIG 管目标，APRO 管资源，Runtime 执行；用户可以撤销授权。</w:t>
      </w:r>
    </w:p>
    <w:p>
      <w:r>
        <w:t>异常与恢复</w:t>
      </w:r>
    </w:p>
    <w:p>
      <w:r>
        <w:t>无进展、预算耗尽、授权失效或目标过期时暂停/终止；不能通过递归生成子目标规避停止。</w:t>
      </w:r>
    </w:p>
    <w:p>
      <w:r>
        <w:t>安全与架构不变量</w:t>
      </w:r>
    </w:p>
    <w:p>
      <w:r>
        <w:t>关键结果必须有来源、版本和验收证据；无法证明时明确标注未知，不把假设写成事实。</w:t>
      </w:r>
    </w:p>
    <w:p>
      <w:r>
        <w:t>验收标准</w:t>
      </w:r>
    </w:p>
    <w:p>
      <w:r>
        <w:t>验收目标：协调交互任务、长任务、同步、评测和进化实验。验证至少覆盖正常路径、异常/边界输入、重启或重复请求（适用时）、权限/隐私拒绝和版本兼容；结果可由自动化测试或明确的人工验收步骤复现。</w:t>
      </w:r>
    </w:p>
    <w:p>
      <w:r>
        <w:t>实现约束与依赖</w:t>
      </w:r>
    </w:p>
    <w:p>
      <w:r>
        <w:t>本模块必须通过统一 task_id/run_id、版本清单、结构化事件和审计链关联运行；接口需声明版本、错误码、超时和幂等语义。变更范围通过能力依赖图确定，不能静默改变稳定版本。</w:t>
      </w:r>
    </w:p>
    <w:p>
      <w:r>
        <w:t>---</w:t>
      </w:r>
    </w:p>
    <w:p>
      <w:pPr>
        <w:pStyle w:val="Heading2"/>
      </w:pPr>
      <w:r>
        <w:t>G-09｜预算账本与费用控制</w:t>
      </w:r>
    </w:p>
    <w:p>
      <w:r>
        <w:t>设计目标与范围</w:t>
      </w:r>
    </w:p>
    <w:p>
      <w:r>
        <w:t>管理模型 token、外部 API、生成服务、CPU/磁盘和并发预算。</w:t>
      </w:r>
    </w:p>
    <w:p>
      <w:r>
        <w:t>正式设计决策</w:t>
      </w:r>
    </w:p>
    <w:p>
      <w:r>
        <w:t>执行前预留、执行后对账；硬预算不可被模型覆盖，未知费用按保守估计。</w:t>
      </w:r>
    </w:p>
    <w:p>
      <w:r>
        <w:t>输入与输出契约</w:t>
      </w:r>
    </w:p>
    <w:p>
      <w:r>
        <w:t>输入：目标来源、成功条件、授权、预算、期限、父目标、运行证据和资源压力。输出：Goal 状态、机会候选、优先级、预算分配和停止/复盘记录。</w:t>
      </w:r>
    </w:p>
    <w:p>
      <w:r>
        <w:t>标准处理流程</w:t>
      </w:r>
    </w:p>
    <w:p>
      <w:r>
        <w:t>注册目标 → 价值/风险评估 → 授权检查 → 排序与资源预留 → 创建任务 → 监控成本/进展 → 停止或复盘。</w:t>
      </w:r>
    </w:p>
    <w:p>
      <w:r>
        <w:t>控制权与边界</w:t>
      </w:r>
    </w:p>
    <w:p>
      <w:r>
        <w:t>AGIG 管目标，APRO 管资源，Runtime 执行；用户可以撤销授权。</w:t>
      </w:r>
    </w:p>
    <w:p>
      <w:r>
        <w:t>异常与恢复</w:t>
      </w:r>
    </w:p>
    <w:p>
      <w:r>
        <w:t>无进展、预算耗尽、授权失效或目标过期时暂停/终止；不能通过递归生成子目标规避停止。</w:t>
      </w:r>
    </w:p>
    <w:p>
      <w:r>
        <w:t>安全与架构不变量</w:t>
      </w:r>
    </w:p>
    <w:p>
      <w:r>
        <w:t>关键结果必须有来源、版本和验收证据；无法证明时明确标注未知，不把假设写成事实。</w:t>
      </w:r>
    </w:p>
    <w:p>
      <w:r>
        <w:t>验收标准</w:t>
      </w:r>
    </w:p>
    <w:p>
      <w:r>
        <w:t>验收目标：管理模型 token、外部 API、生成服务、CPU/磁盘和并发预算。验证至少覆盖正常路径、异常/边界输入、重启或重复请求（适用时）、权限/隐私拒绝和版本兼容；结果可由自动化测试或明确的人工验收步骤复现。</w:t>
      </w:r>
    </w:p>
    <w:p>
      <w:r>
        <w:t>实现约束与依赖</w:t>
      </w:r>
    </w:p>
    <w:p>
      <w:r>
        <w:t>本模块必须通过统一 task_id/run_id、版本清单、结构化事件和审计链关联运行；接口需声明版本、错误码、超时和幂等语义。变更范围通过能力依赖图确定，不能静默改变稳定版本。</w:t>
      </w:r>
    </w:p>
    <w:p>
      <w:r>
        <w:t>---</w:t>
      </w:r>
    </w:p>
    <w:p>
      <w:pPr>
        <w:pStyle w:val="Heading2"/>
      </w:pPr>
      <w:r>
        <w:t>G-10｜主动任务结果归因</w:t>
      </w:r>
    </w:p>
    <w:p>
      <w:r>
        <w:t>设计目标与范围</w:t>
      </w:r>
    </w:p>
    <w:p>
      <w:r>
        <w:t>比较预期收益与实际收益，决定继续、暂停或终止。</w:t>
      </w:r>
    </w:p>
    <w:p>
      <w:r>
        <w:t>正式设计决策</w:t>
      </w:r>
    </w:p>
    <w:p>
      <w:r>
        <w:t>目标推进必须有授权、预算、截止/失效条件和无进展停止规则；主动发现不等于获准执行。</w:t>
      </w:r>
    </w:p>
    <w:p>
      <w:r>
        <w:t>输入与输出契约</w:t>
      </w:r>
    </w:p>
    <w:p>
      <w:r>
        <w:t>输入：目标来源、成功条件、授权、预算、期限、父目标、运行证据和资源压力。输出：Goal 状态、机会候选、优先级、预算分配和停止/复盘记录。</w:t>
      </w:r>
    </w:p>
    <w:p>
      <w:r>
        <w:t>标准处理流程</w:t>
      </w:r>
    </w:p>
    <w:p>
      <w:r>
        <w:t>注册目标 → 价值/风险评估 → 授权检查 → 排序与资源预留 → 创建任务 → 监控成本/进展 → 停止或复盘。</w:t>
      </w:r>
    </w:p>
    <w:p>
      <w:r>
        <w:t>控制权与边界</w:t>
      </w:r>
    </w:p>
    <w:p>
      <w:r>
        <w:t>AGIG 管目标，APRO 管资源，Runtime 执行；用户可以撤销授权。</w:t>
      </w:r>
    </w:p>
    <w:p>
      <w:r>
        <w:t>异常与恢复</w:t>
      </w:r>
    </w:p>
    <w:p>
      <w:r>
        <w:t>无进展、预算耗尽、授权失效或目标过期时暂停/终止；不能通过递归生成子目标规避停止。</w:t>
      </w:r>
    </w:p>
    <w:p>
      <w:r>
        <w:t>安全与架构不变量</w:t>
      </w:r>
    </w:p>
    <w:p>
      <w:r>
        <w:t>关键结果必须有来源、版本和验收证据；无法证明时明确标注未知，不把假设写成事实。</w:t>
      </w:r>
    </w:p>
    <w:p>
      <w:r>
        <w:t>验收标准</w:t>
      </w:r>
    </w:p>
    <w:p>
      <w:r>
        <w:t>验收目标：比较预期收益与实际收益，决定继续、暂停或终止。验证至少覆盖正常路径、异常/边界输入、重启或重复请求（适用时）、权限/隐私拒绝和版本兼容；结果可由自动化测试或明确的人工验收步骤复现。</w:t>
      </w:r>
    </w:p>
    <w:p>
      <w:r>
        <w:t>实现约束与依赖</w:t>
      </w:r>
    </w:p>
    <w:p>
      <w:r>
        <w:t>本模块必须通过统一 task_id/run_id、版本清单、结构化事件和审计链关联运行；接口需声明版本、错误码、超时和幂等语义。变更范围通过能力依赖图确定，不能静默改变稳定版本。</w:t>
      </w:r>
    </w:p>
    <w:p>
      <w:r>
        <w:t>---</w:t>
      </w:r>
    </w:p>
    <w:sectPr w:rsidR="00FC693F" w:rsidRPr="0006063C" w:rsidSect="00034616">
      <w:footerReference w:type="default" r:id="rId9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EvoAgent｜全量详细设计正式版 1.0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Microsoft YaHe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 w:eastAsia="Microsoft YaHei"/>
      <w:b/>
      <w:bCs/>
      <w:color w:val="1C3A56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 w:eastAsia="Microsoft YaHei"/>
      <w:b/>
      <w:bCs/>
      <w:color w:val="1C3A56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 w:eastAsia="Microsoft YaHei"/>
      <w:b/>
      <w:bCs/>
      <w:color w:val="1C3A56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 w:eastAsia="Microsoft YaHei"/>
      <w:color w:val="1C3A56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