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产品部署与终端战略 专项详细设计</w:t>
      </w:r>
    </w:p>
    <w:p>
      <w:pPr>
        <w:jc w:val="center"/>
      </w:pPr>
      <w:r>
        <w:rPr>
          <w:color w:val="5A5A5A"/>
          <w:sz w:val="18"/>
        </w:rPr>
        <w:t>正式设计基线 1.0｜2026-10-20</w:t>
      </w:r>
    </w:p>
    <w:p>
      <w:pPr>
        <w:pStyle w:val="Heading1"/>
      </w:pPr>
      <w:r>
        <w:t>EvoAgent 专项详细设计｜06_产品部署与终端战略</w:t>
      </w:r>
    </w:p>
    <w:p>
      <w:r>
        <w:t>正式设计基线 1.0｜2026-10-20</w:t>
      </w:r>
    </w:p>
    <w:p>
      <w:r>
        <w:t>本卷是正式详细设计，不是原型草稿。所有模块遵循统一任务身份、不可变版本、最小权限、证据可追溯、独立验收和失败可恢复原则。</w:t>
      </w:r>
    </w:p>
    <w:p>
      <w:pPr>
        <w:pStyle w:val="Heading2"/>
      </w:pPr>
      <w:r>
        <w:t>P-01｜产品定位与价值主张</w:t>
      </w:r>
    </w:p>
    <w:p>
      <w:r>
        <w:t>设计目标与范围</w:t>
      </w:r>
    </w:p>
    <w:p>
      <w:r>
        <w:t>个人通用智能体；真实任务完成、可靠复用和可验证改进。</w:t>
      </w:r>
    </w:p>
    <w:p>
      <w:r>
        <w:t>正式设计决策</w:t>
      </w:r>
    </w:p>
    <w:p>
      <w:r>
        <w:t>进化以可验证的真实任务收益为标准，不以自我修改次数或模型自评为标准。</w:t>
      </w:r>
    </w:p>
    <w:p>
      <w:r>
        <w:t>输入与输出契约</w:t>
      </w:r>
    </w:p>
    <w:p>
      <w:r>
        <w:t>输入：产品目标、用户场景、设备/部署约束、已确认决策。输出：功能边界、版本化需求、验收标准、依赖和风险。</w:t>
      </w:r>
    </w:p>
    <w:p>
      <w:r>
        <w:t>标准处理流程</w:t>
      </w:r>
    </w:p>
    <w:p>
      <w:r>
        <w:t>需求登记 → 价值与场景核验 → 能力/设备边界划分 → 依赖与风险评估 → 验收设计 → 版本化记录。</w:t>
      </w:r>
    </w:p>
    <w:p>
      <w:r>
        <w:t>控制权与边界</w:t>
      </w:r>
    </w:p>
    <w:p>
      <w:r>
        <w:t>产品治理与架构治理；终端实现由对应客户端模块负责。</w:t>
      </w:r>
    </w:p>
    <w:p>
      <w:r>
        <w:t>异常与恢复</w:t>
      </w:r>
    </w:p>
    <w:p>
      <w:r>
        <w:t>发生架构冲突时建立 ADR；未确认假设标为待决策，不作为硬依赖。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个人通用智能体；真实任务完成、可靠复用和可验证改进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P-02｜全量 PRD 与产品边界</w:t>
      </w:r>
    </w:p>
    <w:p>
      <w:r>
        <w:t>设计目标与范围</w:t>
      </w:r>
    </w:p>
    <w:p>
      <w:r>
        <w:t>用户场景、功能需求、非目标、权限、任务生命周期和验收口径。</w:t>
      </w:r>
    </w:p>
    <w:p>
      <w:r>
        <w:t>正式设计决策</w:t>
      </w:r>
    </w:p>
    <w:p>
      <w:r>
        <w:t>产品与部署决策必须区分首发范围、后续扩展和可选宿主，不能把未来目标写成已实现能力。</w:t>
      </w:r>
    </w:p>
    <w:p>
      <w:r>
        <w:t>输入与输出契约</w:t>
      </w:r>
    </w:p>
    <w:p>
      <w:r>
        <w:t>输入：产品目标、用户场景、设备/部署约束、已确认决策。输出：功能边界、版本化需求、验收标准、依赖和风险。</w:t>
      </w:r>
    </w:p>
    <w:p>
      <w:r>
        <w:t>标准处理流程</w:t>
      </w:r>
    </w:p>
    <w:p>
      <w:r>
        <w:t>需求登记 → 价值与场景核验 → 能力/设备边界划分 → 依赖与风险评估 → 验收设计 → 版本化记录。</w:t>
      </w:r>
    </w:p>
    <w:p>
      <w:r>
        <w:t>控制权与边界</w:t>
      </w:r>
    </w:p>
    <w:p>
      <w:r>
        <w:t>产品治理与架构治理；终端实现由对应客户端模块负责。</w:t>
      </w:r>
    </w:p>
    <w:p>
      <w:r>
        <w:t>异常与恢复</w:t>
      </w:r>
    </w:p>
    <w:p>
      <w:r>
        <w:t>发生架构冲突时建立 ADR；未确认假设标为待决策，不作为硬依赖。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用户场景、功能需求、非目标、权限、任务生命周期和验收口径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P-03｜Android 手机优先战略</w:t>
      </w:r>
    </w:p>
    <w:p>
      <w:r>
        <w:t>设计目标与范围</w:t>
      </w:r>
    </w:p>
    <w:p>
      <w:r>
        <w:t>Android 手机第一正式终端，承载交互、审批、设备能力和运行证据。</w:t>
      </w:r>
    </w:p>
    <w:p>
      <w:r>
        <w:t>正式设计决策</w:t>
      </w:r>
    </w:p>
    <w:p>
      <w:r>
        <w:t>Android 手机是第一正式终端；手机优先是交互与受控设备能力优先，不要求复杂推理全部在手机本地执行。</w:t>
      </w:r>
    </w:p>
    <w:p>
      <w:r>
        <w:t>输入与输出契约</w:t>
      </w:r>
    </w:p>
    <w:p>
      <w:r>
        <w:t>输入：产品目标、用户场景、设备/部署约束、已确认决策。输出：功能边界、版本化需求、验收标准、依赖和风险。</w:t>
      </w:r>
    </w:p>
    <w:p>
      <w:r>
        <w:t>标准处理流程</w:t>
      </w:r>
    </w:p>
    <w:p>
      <w:r>
        <w:t>需求登记 → 价值与场景核验 → 能力/设备边界划分 → 依赖与风险评估 → 验收设计 → 版本化记录。</w:t>
      </w:r>
    </w:p>
    <w:p>
      <w:r>
        <w:t>控制权与边界</w:t>
      </w:r>
    </w:p>
    <w:p>
      <w:r>
        <w:t>产品治理与架构治理；终端实现由对应客户端模块负责。</w:t>
      </w:r>
    </w:p>
    <w:p>
      <w:r>
        <w:t>异常与恢复</w:t>
      </w:r>
    </w:p>
    <w:p>
      <w:r>
        <w:t>发生架构冲突时建立 ADR；未确认假设标为待决策，不作为硬依赖。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验收目标：Android 手机第一正式终端，承载交互、审批、设备能力和运行证据。验证至少覆盖正常路径、异常/边界输入、重启或重复请求（适用时）、权限/隐私拒绝和版本兼容；结果可由自动化测试或明确的人工验收步骤复现。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P-04｜Windows 桌面端扩展路线</w:t>
      </w:r>
    </w:p>
    <w:p>
      <w:r>
        <w:t>设计目标与范围</w:t>
      </w:r>
    </w:p>
    <w:p>
      <w:r>
        <w:t>后续增强开发、长任务和桌面工具能力，不作为 Android 首发依赖。</w:t>
      </w:r>
    </w:p>
    <w:p>
      <w:r>
        <w:t>正式设计决策</w:t>
      </w:r>
    </w:p>
    <w:p>
      <w:r>
        <w:t>Windows 桌面端为后续扩展，不作为 Android 首发的前置依赖；复用同一 Task/Tool/Workflow 契约。</w:t>
      </w:r>
    </w:p>
    <w:p>
      <w:r>
        <w:t>输入与输出契约</w:t>
      </w:r>
    </w:p>
    <w:p>
      <w:r>
        <w:t>输入：产品目标、用户场景、设备/部署约束、已确认决策。输出：功能边界、版本化需求、验收标准、依赖和风险。</w:t>
      </w:r>
    </w:p>
    <w:p>
      <w:r>
        <w:t>标准处理流程</w:t>
      </w:r>
    </w:p>
    <w:p>
      <w:r>
        <w:t>需求登记 → 价值与场景核验 → 能力/设备边界划分 → 依赖与风险评估 → 验收设计 → 版本化记录。</w:t>
      </w:r>
    </w:p>
    <w:p>
      <w:r>
        <w:t>控制权与边界</w:t>
      </w:r>
    </w:p>
    <w:p>
      <w:r>
        <w:t>产品治理与架构治理；终端实现由对应客户端模块负责。</w:t>
      </w:r>
    </w:p>
    <w:p>
      <w:r>
        <w:t>异常与恢复</w:t>
      </w:r>
    </w:p>
    <w:p>
      <w:r>
        <w:t>发生架构冲突时建立 ADR；未确认假设标为待决策，不作为硬依赖。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验收目标：后续增强开发、长任务和桌面工具能力，不作为 Android 首发依赖。验证至少覆盖正常路径、异常/边界输入、重启或重复请求（适用时）、权限/隐私拒绝和版本兼容；结果可由自动化测试或明确的人工验收步骤复现。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P-05｜Mini PC/Linux 个人宿主</w:t>
      </w:r>
    </w:p>
    <w:p>
      <w:r>
        <w:t>设计目标与范围</w:t>
      </w:r>
    </w:p>
    <w:p>
      <w:r>
        <w:t>个人电脑或微型 Linux 主机提供常驻服务、文件处理和本地工具。</w:t>
      </w:r>
    </w:p>
    <w:p>
      <w:r>
        <w:t>正式设计决策</w:t>
      </w:r>
    </w:p>
    <w:p>
      <w:r>
        <w:t>产品与部署决策必须区分首发范围、后续扩展和可选宿主，不能把未来目标写成已实现能力。</w:t>
      </w:r>
    </w:p>
    <w:p>
      <w:r>
        <w:t>输入与输出契约</w:t>
      </w:r>
    </w:p>
    <w:p>
      <w:r>
        <w:t>输入：产品目标、用户场景、设备/部署约束、已确认决策。输出：功能边界、版本化需求、验收标准、依赖和风险。</w:t>
      </w:r>
    </w:p>
    <w:p>
      <w:r>
        <w:t>标准处理流程</w:t>
      </w:r>
    </w:p>
    <w:p>
      <w:r>
        <w:t>需求登记 → 价值与场景核验 → 能力/设备边界划分 → 依赖与风险评估 → 验收设计 → 版本化记录。</w:t>
      </w:r>
    </w:p>
    <w:p>
      <w:r>
        <w:t>控制权与边界</w:t>
      </w:r>
    </w:p>
    <w:p>
      <w:r>
        <w:t>产品治理与架构治理；终端实现由对应客户端模块负责。</w:t>
      </w:r>
    </w:p>
    <w:p>
      <w:r>
        <w:t>异常与恢复</w:t>
      </w:r>
    </w:p>
    <w:p>
      <w:r>
        <w:t>发生架构冲突时建立 ADR；未确认假设标为待决策，不作为硬依赖。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验收目标：个人电脑或微型 Linux 主机提供常驻服务、文件处理和本地工具。验证至少覆盖正常路径、异常/边界输入、重启或重复请求（适用时）、权限/隐私拒绝和版本兼容；结果可由自动化测试或明确的人工验收步骤复现。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P-06｜多端交互与运行宿主解耦</w:t>
      </w:r>
    </w:p>
    <w:p>
      <w:r>
        <w:t>设计目标与范围</w:t>
      </w:r>
    </w:p>
    <w:p>
      <w:r>
        <w:t>Android、未来桌面端、CLI/API 与执行宿主分离。</w:t>
      </w:r>
    </w:p>
    <w:p>
      <w:r>
        <w:t>正式设计决策</w:t>
      </w:r>
    </w:p>
    <w:p>
      <w:r>
        <w:t>交互端和运行宿主分离；UI 不拥有任务权威状态，宿主也不能绕过端侧权限。</w:t>
      </w:r>
    </w:p>
    <w:p>
      <w:r>
        <w:t>输入与输出契约</w:t>
      </w:r>
    </w:p>
    <w:p>
      <w:r>
        <w:t>输入：产品目标、用户场景、设备/部署约束、已确认决策。输出：功能边界、版本化需求、验收标准、依赖和风险。</w:t>
      </w:r>
    </w:p>
    <w:p>
      <w:r>
        <w:t>标准处理流程</w:t>
      </w:r>
    </w:p>
    <w:p>
      <w:r>
        <w:t>需求登记 → 价值与场景核验 → 能力/设备边界划分 → 依赖与风险评估 → 验收设计 → 版本化记录。</w:t>
      </w:r>
    </w:p>
    <w:p>
      <w:r>
        <w:t>控制权与边界</w:t>
      </w:r>
    </w:p>
    <w:p>
      <w:r>
        <w:t>产品治理与架构治理；终端实现由对应客户端模块负责。</w:t>
      </w:r>
    </w:p>
    <w:p>
      <w:r>
        <w:t>异常与恢复</w:t>
      </w:r>
    </w:p>
    <w:p>
      <w:r>
        <w:t>发生架构冲突时建立 ADR；未确认假设标为待决策，不作为硬依赖。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验收目标：Android、未来桌面端、CLI/API 与执行宿主分离。验证至少覆盖正常路径、异常/边界输入、重启或重复请求（适用时）、权限/隐私拒绝和版本兼容；结果可由自动化测试或明确的人工验收步骤复现。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P-07｜本地优先与可选远程服务</w:t>
      </w:r>
    </w:p>
    <w:p>
      <w:r>
        <w:t>设计目标与范围</w:t>
      </w:r>
    </w:p>
    <w:p>
      <w:r>
        <w:t>断网保留本地任务状态、事件、可用能力和导出。</w:t>
      </w:r>
    </w:p>
    <w:p>
      <w:r>
        <w:t>正式设计决策</w:t>
      </w:r>
    </w:p>
    <w:p>
      <w:r>
        <w:t>本地先持久化，远程服务按需使用；离线必须保留关键证据和允许的本地能力。</w:t>
      </w:r>
    </w:p>
    <w:p>
      <w:r>
        <w:t>输入与输出契约</w:t>
      </w:r>
    </w:p>
    <w:p>
      <w:r>
        <w:t>输入：产品目标、用户场景、设备/部署约束、已确认决策。输出：功能边界、版本化需求、验收标准、依赖和风险。</w:t>
      </w:r>
    </w:p>
    <w:p>
      <w:r>
        <w:t>标准处理流程</w:t>
      </w:r>
    </w:p>
    <w:p>
      <w:r>
        <w:t>需求登记 → 价值与场景核验 → 能力/设备边界划分 → 依赖与风险评估 → 验收设计 → 版本化记录。</w:t>
      </w:r>
    </w:p>
    <w:p>
      <w:r>
        <w:t>控制权与边界</w:t>
      </w:r>
    </w:p>
    <w:p>
      <w:r>
        <w:t>产品治理与架构治理；终端实现由对应客户端模块负责。</w:t>
      </w:r>
    </w:p>
    <w:p>
      <w:r>
        <w:t>异常与恢复</w:t>
      </w:r>
    </w:p>
    <w:p>
      <w:r>
        <w:t>发生架构冲突时建立 ADR；未确认假设标为待决策，不作为硬依赖。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验收目标：断网保留本地任务状态、事件、可用能力和导出。验证至少覆盖正常路径、异常/边界输入、重启或重复请求（适用时）、权限/隐私拒绝和版本兼容；结果可由自动化测试或明确的人工验收步骤复现。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P-08｜DeepSeek Harness 适配策略</w:t>
      </w:r>
    </w:p>
    <w:p>
      <w:r>
        <w:t>设计目标与范围</w:t>
      </w:r>
    </w:p>
    <w:p>
      <w:r>
        <w:t>Harness 作为可替换 Agent Runtime，而非产品架构本身。</w:t>
      </w:r>
    </w:p>
    <w:p>
      <w:r>
        <w:t>正式设计决策</w:t>
      </w:r>
    </w:p>
    <w:p>
      <w:r>
        <w:t>DSH 只通过 AgentRuntimeAdapter 接入；EvoAgent 自有任务、权限、工作流、评测和发布控制面。</w:t>
      </w:r>
    </w:p>
    <w:p>
      <w:r>
        <w:t>输入与输出契约</w:t>
      </w:r>
    </w:p>
    <w:p>
      <w:r>
        <w:t>输入：产品目标、用户场景、设备/部署约束、已确认决策。输出：功能边界、版本化需求、验收标准、依赖和风险。</w:t>
      </w:r>
    </w:p>
    <w:p>
      <w:r>
        <w:t>标准处理流程</w:t>
      </w:r>
    </w:p>
    <w:p>
      <w:r>
        <w:t>需求登记 → 价值与场景核验 → 能力/设备边界划分 → 依赖与风险评估 → 验收设计 → 版本化记录。</w:t>
      </w:r>
    </w:p>
    <w:p>
      <w:r>
        <w:t>控制权与边界</w:t>
      </w:r>
    </w:p>
    <w:p>
      <w:r>
        <w:t>产品治理与架构治理；终端实现由对应客户端模块负责。</w:t>
      </w:r>
    </w:p>
    <w:p>
      <w:r>
        <w:t>异常与恢复</w:t>
      </w:r>
    </w:p>
    <w:p>
      <w:r>
        <w:t>发生架构冲突时建立 ADR；未确认假设标为待决策，不作为硬依赖。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验收目标：Harness 作为可替换 Agent Runtime，而非产品架构本身。验证至少覆盖正常路径、异常/边界输入、重启或重复请求（适用时）、权限/隐私拒绝和版本兼容；结果可由自动化测试或明确的人工验收步骤复现。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EvoAgent｜全量详细设计正式版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C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