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端云协同离线同步与发布 专项详细设计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专项详细设计｜07_端云协同离线同步与发布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O-01｜本地事件持久化与容量治理</w:t>
      </w:r>
    </w:p>
    <w:p>
      <w:r>
        <w:t>设计目标与范围</w:t>
      </w:r>
    </w:p>
    <w:p>
      <w:r>
        <w:t>关键事件、版本清单和同步状态本地可靠保存。</w:t>
      </w:r>
    </w:p>
    <w:p>
      <w:r>
        <w:t>正式设计决策</w:t>
      </w:r>
    </w:p>
    <w:p>
      <w:r>
        <w:t>关键事件先落盘；存储不足不得静默删除未同步关键事件。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验收目标：关键事件、版本清单和同步状态本地可靠保存。验证至少覆盖正常路径、异常/边界输入、重启或重复请求（适用时）、权限/隐私拒绝和版本兼容；结果可由自动化测试或明确的人工验收步骤复现。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O-02｜可靠同步与幂等回执</w:t>
      </w:r>
    </w:p>
    <w:p>
      <w:r>
        <w:t>设计目标与范围</w:t>
      </w:r>
    </w:p>
    <w:p>
      <w:r>
        <w:t>断点续传、稳定事件 ID、批次 ID、部分成功回执和退避。</w:t>
      </w:r>
    </w:p>
    <w:p>
      <w:r>
        <w:t>正式设计决策</w:t>
      </w:r>
    </w:p>
    <w:p>
      <w:r>
        <w:t>至少一次传输、服务端幂等去重；只有持久化后 ACK；部分成功必须明确列出事件 ID。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验收目标：断点续传、稳定事件 ID、批次 ID、部分成功回执和退避。验证至少覆盖正常路径、异常/边界输入、重启或重复请求（适用时）、权限/隐私拒绝和版本兼容；结果可由自动化测试或明确的人工验收步骤复现。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O-03｜离线诊断包导出</w:t>
      </w:r>
    </w:p>
    <w:p>
      <w:r>
        <w:t>设计目标与范围</w:t>
      </w:r>
    </w:p>
    <w:p>
      <w:r>
        <w:t>按任务、时间、能力和失败状态导出结构化证据。</w:t>
      </w:r>
    </w:p>
    <w:p>
      <w:r>
        <w:t>正式设计决策</w:t>
      </w:r>
    </w:p>
    <w:p>
      <w:r>
        <w:t>先持久化再同步，传输可重试但业务效果必须幂等；所有制品验证兼容、完整性和回滚。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验收目标：按任务、时间、能力和失败状态导出结构化证据。验证至少覆盖正常路径、异常/边界输入、重启或重复请求（适用时）、权限/隐私拒绝和版本兼容；结果可由自动化测试或明确的人工验收步骤复现。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O-04｜诊断包受控导入</w:t>
      </w:r>
    </w:p>
    <w:p>
      <w:r>
        <w:t>设计目标与范围</w:t>
      </w:r>
    </w:p>
    <w:p>
      <w:r>
        <w:t>校验外部包、隔离数据并进入诊断流程。</w:t>
      </w:r>
    </w:p>
    <w:p>
      <w:r>
        <w:t>正式设计决策</w:t>
      </w:r>
    </w:p>
    <w:p>
      <w:r>
        <w:t>导入包作为不可信证据，防路径穿越/压缩炸弹；内容不得作为命令执行。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验收目标：校验外部包、隔离数据并进入诊断流程。验证至少覆盖正常路径、异常/边界输入、重启或重复请求（适用时）、权限/隐私拒绝和版本兼容；结果可由自动化测试或明确的人工验收步骤复现。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O-05｜Runtime Manifest 运行版本清单</w:t>
      </w:r>
    </w:p>
    <w:p>
      <w:r>
        <w:t>设计目标与范围</w:t>
      </w:r>
    </w:p>
    <w:p>
      <w:r>
        <w:t>记录每次任务实际使用的组件版本组合。</w:t>
      </w:r>
    </w:p>
    <w:p>
      <w:r>
        <w:t>正式设计决策</w:t>
      </w:r>
    </w:p>
    <w:p>
      <w:r>
        <w:t>Runtime Manifest 不可变，历史运行不得被最新组件版本覆盖。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验收目标：记录每次任务实际使用的组件版本组合。验证至少覆盖正常路径、异常/边界输入、重启或重复请求（适用时）、权限/隐私拒绝和版本兼容；结果可由自动化测试或明确的人工验收步骤复现。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O-06｜端云协同进化闭环</w:t>
      </w:r>
    </w:p>
    <w:p>
      <w:r>
        <w:t>设计目标与范围</w:t>
      </w:r>
    </w:p>
    <w:p>
      <w:r>
        <w:t>证据上行、诊断、候选评测、发布下行和线上反馈。</w:t>
      </w:r>
    </w:p>
    <w:p>
      <w:r>
        <w:t>正式设计决策</w:t>
      </w:r>
    </w:p>
    <w:p>
      <w:r>
        <w:t>上行证据链、下行发布链、线上反馈链通过 task/run/manifest/release ID 关联。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证据上行、诊断、候选评测、发布下行和线上反馈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O-07｜版本分发、激活与回滚</w:t>
      </w:r>
    </w:p>
    <w:p>
      <w:r>
        <w:t>设计目标与范围</w:t>
      </w:r>
    </w:p>
    <w:p>
      <w:r>
        <w:t>分发策略、工作流、模型档案、能力包和客户端制品。</w:t>
      </w:r>
    </w:p>
    <w:p>
      <w:r>
        <w:t>正式设计决策</w:t>
      </w:r>
    </w:p>
    <w:p>
      <w:r>
        <w:t>发布清单声明平台、兼容性、签名、评测、授权、激活策略和回滚目标。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分发策略、工作流、模型档案、能力包和客户端制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O-08｜离线降级与恢复</w:t>
      </w:r>
    </w:p>
    <w:p>
      <w:r>
        <w:t>设计目标与范围</w:t>
      </w:r>
    </w:p>
    <w:p>
      <w:r>
        <w:t>服务端、模型、网络或同步不可用时保留允许的本地能力。</w:t>
      </w:r>
    </w:p>
    <w:p>
      <w:r>
        <w:t>正式设计决策</w:t>
      </w:r>
    </w:p>
    <w:p>
      <w:r>
        <w:t>能力声明离线可用性；降级必须显式告知，不能伪装成完整云端能力。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服务端、模型、网络或同步不可用时保留允许的本地能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O-09｜附件与大型资产存储</w:t>
      </w:r>
    </w:p>
    <w:p>
      <w:r>
        <w:t>设计目标与范围</w:t>
      </w:r>
    </w:p>
    <w:p>
      <w:r>
        <w:t>管理图片、音频、视频、代码产物和诊断附件。</w:t>
      </w:r>
    </w:p>
    <w:p>
      <w:r>
        <w:t>正式设计决策</w:t>
      </w:r>
    </w:p>
    <w:p>
      <w:r>
        <w:t>先持久化再同步，传输可重试但业务效果必须幂等；所有制品验证兼容、完整性和回滚。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验收目标：管理图片、音频、视频、代码产物和诊断附件。验证至少覆盖正常路径、异常/边界输入、重启或重复请求（适用时）、权限/隐私拒绝和版本兼容；结果可由自动化测试或明确的人工验收步骤复现。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O-10｜多设备状态一致性</w:t>
      </w:r>
    </w:p>
    <w:p>
      <w:r>
        <w:t>设计目标与范围</w:t>
      </w:r>
    </w:p>
    <w:p>
      <w:r>
        <w:t>维护设备版本、目标发布、激活状态和应用回执。</w:t>
      </w:r>
    </w:p>
    <w:p>
      <w:r>
        <w:t>正式设计决策</w:t>
      </w:r>
    </w:p>
    <w:p>
      <w:r>
        <w:t>先持久化再同步，传输可重试但业务效果必须幂等；所有制品验证兼容、完整性和回滚。</w:t>
      </w:r>
    </w:p>
    <w:p>
      <w:r>
        <w:t>输入与输出契约</w:t>
      </w:r>
    </w:p>
    <w:p>
      <w:r>
        <w:t>输入：本地事件、同步批次、Runtime Manifest、制品清单、设备状态和隐私策略。输出：回执、诊断包、对账结果、发布制品和客户端回滚记录。</w:t>
      </w:r>
    </w:p>
    <w:p>
      <w:r>
        <w:t>标准处理流程</w:t>
      </w:r>
    </w:p>
    <w:p>
      <w:r>
        <w:t>本地落盘 → 隐私过滤 → 批次上传/版本对账 → 持久化确认 → 诊断/评测/发布 → 客户端校验激活 → 反馈与回滚。</w:t>
      </w:r>
    </w:p>
    <w:p>
      <w:r>
        <w:t>控制权与边界</w:t>
      </w:r>
    </w:p>
    <w:p>
      <w:r>
        <w:t>同步服务与版本分发服务各自管理协议状态；上传成功不等于批准发布。</w:t>
      </w:r>
    </w:p>
    <w:p>
      <w:r>
        <w:t>异常与恢复</w:t>
      </w:r>
    </w:p>
    <w:p>
      <w:r>
        <w:t>断网保留队列；重复批次幂等；部分成功精确补传；未知版本隔离；同步与更新互不阻塞。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验收目标：维护设备版本、目标发布、激活状态和应用回执。验证至少覆盖正常路径、异常/边界输入、重启或重复请求（适用时）、权限/隐私拒绝和版本兼容；结果可由自动化测试或明确的人工验收步骤复现。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