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安全治理与工程化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专项详细设计｜08_安全治理与工程化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S-01｜安全策略与最小权限</w:t>
      </w:r>
    </w:p>
    <w:p>
      <w:r>
        <w:t>设计目标与范围</w:t>
      </w:r>
    </w:p>
    <w:p>
      <w:r>
        <w:t>统一工具权限、数据范围、风险等级、审批和拒绝规则。</w:t>
      </w:r>
    </w:p>
    <w:p>
      <w:r>
        <w:t>正式设计决策</w:t>
      </w:r>
    </w:p>
    <w:p>
      <w:r>
        <w:t>策略不确定时 fail closed；专家和候选不能放宽全局权限规则。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统一工具权限、数据范围、风险等级、审批和拒绝规则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S-02｜隐私与敏感数据治理</w:t>
      </w:r>
    </w:p>
    <w:p>
      <w:r>
        <w:t>设计目标与范围</w:t>
      </w:r>
    </w:p>
    <w:p>
      <w:r>
        <w:t>最小化采集、脱敏、访问控制、保留和删除。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验收目标：最小化采集、脱敏、访问控制、保留和删除。验证至少覆盖正常路径、异常/边界输入、重启或重复请求（适用时）、权限/隐私拒绝和版本兼容；结果可由自动化测试或明确的人工验收步骤复现。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S-03｜模型输出与外部内容不可信边界</w:t>
      </w:r>
    </w:p>
    <w:p>
      <w:r>
        <w:t>设计目标与范围</w:t>
      </w:r>
    </w:p>
    <w:p>
      <w:r>
        <w:t>防止提示注入、恶意工具参数和导入指令。</w:t>
      </w:r>
    </w:p>
    <w:p>
      <w:r>
        <w:t>正式设计决策</w:t>
      </w:r>
    </w:p>
    <w:p>
      <w:r>
        <w:t>模型输出、工具结果、导入文件和外部内容都是不可信数据，必须经过契约与策略检查。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验收目标：防止提示注入、恶意工具参数和导入指令。验证至少覆盖正常路径、异常/边界输入、重启或重复请求（适用时）、权限/隐私拒绝和版本兼容；结果可由自动化测试或明确的人工验收步骤复现。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S-04｜本地沙箱与执行隔离</w:t>
      </w:r>
    </w:p>
    <w:p>
      <w:r>
        <w:t>设计目标与范围</w:t>
      </w:r>
    </w:p>
    <w:p>
      <w:r>
        <w:t>隔离候选代码、文件系统、进程、网络和资源。</w:t>
      </w:r>
    </w:p>
    <w:p>
      <w:r>
        <w:t>正式设计决策</w:t>
      </w:r>
    </w:p>
    <w:p>
      <w:r>
        <w:t>候选工作区限制文件、进程、网络、资源和凭证访问。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验收目标：隔离候选代码、文件系统、进程、网络和资源。验证至少覆盖正常路径、异常/边界输入、重启或重复请求（适用时）、权限/隐私拒绝和版本兼容；结果可由自动化测试或明确的人工验收步骤复现。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S-05｜审计日志与决策可解释性</w:t>
      </w:r>
    </w:p>
    <w:p>
      <w:r>
        <w:t>设计目标与范围</w:t>
      </w:r>
    </w:p>
    <w:p>
      <w:r>
        <w:t>记录授权、执行、诊断、评测、发布、回滚和审批。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授权、执行、诊断、评测、发布、回滚和审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S-06｜ADR 架构决策治理</w:t>
      </w:r>
    </w:p>
    <w:p>
      <w:r>
        <w:t>设计目标与范围</w:t>
      </w:r>
    </w:p>
    <w:p>
      <w:r>
        <w:t>记录决策、替代方案、原因、影响、状态和取代关系。</w:t>
      </w:r>
    </w:p>
    <w:p>
      <w:r>
        <w:t>正式设计决策</w:t>
      </w:r>
    </w:p>
    <w:p>
      <w:r>
        <w:t>重大边界变更必须形成 ADR，区分核心不变量、稳定契约、可进化策略和实验实现。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决策、替代方案、原因、影响、状态和取代关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S-07｜自动化测试与端到端验收</w:t>
      </w:r>
    </w:p>
    <w:p>
      <w:r>
        <w:t>设计目标与范围</w:t>
      </w:r>
    </w:p>
    <w:p>
      <w:r>
        <w:t>单元、集成、回归、失败注入、兼容和端到端流程。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单元、集成、回归、失败注入、兼容和端到端流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S-08｜模块化单体与技术基线</w:t>
      </w:r>
    </w:p>
    <w:p>
      <w:r>
        <w:t>设计目标与范围</w:t>
      </w:r>
    </w:p>
    <w:p>
      <w:r>
        <w:t>定义首期语言、存储、协议、目录、依赖和拆分条件。</w:t>
      </w:r>
    </w:p>
    <w:p>
      <w:r>
        <w:t>正式设计决策</w:t>
      </w:r>
    </w:p>
    <w:p>
      <w:r>
        <w:t>逻辑服务先清晰，物理部署后拆分；个人部署优先模块化单体。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定义首期语言、存储、协议、目录、依赖和拆分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S-09｜运行时可替换性</w:t>
      </w:r>
    </w:p>
    <w:p>
      <w:r>
        <w:t>设计目标与范围</w:t>
      </w:r>
    </w:p>
    <w:p>
      <w:r>
        <w:t>隔离 Harness、模型供应商和执行引擎。</w:t>
      </w:r>
    </w:p>
    <w:p>
      <w:r>
        <w:t>正式设计决策</w:t>
      </w:r>
    </w:p>
    <w:p>
      <w:r>
        <w:t>业务流程只依赖 EvoAgent 契约，不能直接依赖 DSH 内部类型。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验收目标：隔离 Harness、模型供应商和执行引擎。验证至少覆盖正常路径、异常/边界输入、重启或重复请求（适用时）、权限/隐私拒绝和版本兼容；结果可由自动化测试或明确的人工验收步骤复现。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S-10｜低资源设备与性能治理</w:t>
      </w:r>
    </w:p>
    <w:p>
      <w:r>
        <w:t>设计目标与范围</w:t>
      </w:r>
    </w:p>
    <w:p>
      <w:r>
        <w:t>手机、个人电脑、Mini PC 的 CPU、内存、磁盘、电量调度。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验收目标：手机、个人电脑、Mini PC 的 CPU、内存、磁盘、电量调度。验证至少覆盖正常路径、异常/边界输入、重启或重复请求（适用时）、权限/隐私拒绝和版本兼容；结果可由自动化测试或明确的人工验收步骤复现。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S-11｜密钥、配置与供应商凭证</w:t>
      </w:r>
    </w:p>
    <w:p>
      <w:r>
        <w:t>设计目标与范围</w:t>
      </w:r>
    </w:p>
    <w:p>
      <w:r>
        <w:t>管理 API Key、令牌、配置和密钥轮换。</w:t>
      </w:r>
    </w:p>
    <w:p>
      <w:r>
        <w:t>正式设计决策</w:t>
      </w:r>
    </w:p>
    <w:p>
      <w:r>
        <w:t>密钥不得进入提示词、事件、导出包或 Git；使用最小权限和可审计轮换。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验收目标：管理 API Key、令牌、配置和密钥轮换。验证至少覆盖正常路径、异常/边界输入、重启或重复请求（适用时）、权限/隐私拒绝和版本兼容；结果可由自动化测试或明确的人工验收步骤复现。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S-12｜备份、迁移与灾难恢复</w:t>
      </w:r>
    </w:p>
    <w:p>
      <w:r>
        <w:t>设计目标与范围</w:t>
      </w:r>
    </w:p>
    <w:p>
      <w:r>
        <w:t>管理数据库迁移、资产备份、版本恢复和故障演练。</w:t>
      </w:r>
    </w:p>
    <w:p>
      <w:r>
        <w:t>正式设计决策</w:t>
      </w:r>
    </w:p>
    <w:p>
      <w:r>
        <w:t>最小权限、可审计、可恢复优先；安全状态未知时拒绝高风险动作并保留证据。</w:t>
      </w:r>
    </w:p>
    <w:p>
      <w:r>
        <w:t>输入与输出契约</w:t>
      </w:r>
    </w:p>
    <w:p>
      <w:r>
        <w:t>输入：策略版本、身份/授权、工具请求、运行环境、秘密引用和审计事件。输出：允许/拒绝决策、隔离执行结果、审计记录和恢复状态。</w:t>
      </w:r>
    </w:p>
    <w:p>
      <w:r>
        <w:t>标准处理流程</w:t>
      </w:r>
    </w:p>
    <w:p>
      <w:r>
        <w:t>身份与范围校验 → 风险/策略判定 → 最小权限执行 → 记录审计 → 校验结果 → 复核/恢复。</w:t>
      </w:r>
    </w:p>
    <w:p>
      <w:r>
        <w:t>控制权与边界</w:t>
      </w:r>
    </w:p>
    <w:p>
      <w:r>
        <w:t>TSEG/Policy Gate 和受保护控制器；候选不能修改安全规则、秘密和审计记录。</w:t>
      </w:r>
    </w:p>
    <w:p>
      <w:r>
        <w:t>异常与恢复</w:t>
      </w:r>
    </w:p>
    <w:p>
      <w:r>
        <w:t>安全策略、密钥或数据状态未知时 fail closed；迁移/恢复失败时保留原数据并停止写入。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管理数据库迁移、资产备份、版本恢复和故障演练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