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EvoAgent 50+ 专项设计目录与缺口台账</w:t>
      </w:r>
    </w:p>
    <w:p>
      <w:pPr>
        <w:jc w:val="center"/>
      </w:pPr>
      <w:r>
        <w:rPr>
          <w:color w:val="5A5A5A"/>
          <w:sz w:val="22"/>
        </w:rPr>
        <w:t>80 个主题条目｜来源状态与补齐路径</w:t>
      </w:r>
    </w:p>
    <w:p>
      <w:r>
        <w:t>生成日期：2026-10-20｜版本：v0.1 初步汇编</w:t>
      </w:r>
    </w:p>
    <w:p>
      <w:r>
        <w:rPr>
          <w:i/>
          <w:color w:val="5A5A5A"/>
          <w:sz w:val="18"/>
        </w:rPr>
        <w:t>目录提示：在 Word 中可通过“引用 → 目录”生成/更新自动目录。</w:t>
      </w:r>
    </w:p>
    <w:p>
      <w:pPr>
        <w:pStyle w:val="Heading1"/>
      </w:pPr>
      <w:r>
        <w:t>EvoAgent 50+ 专项设计目录、来源与缺口台账</w:t>
      </w:r>
    </w:p>
    <w:p>
      <w:r>
        <w:t>版本： Register v0.1</w:t>
      </w:r>
    </w:p>
    <w:p>
      <w:r>
        <w:t>日期： 2026-10-21</w:t>
      </w:r>
    </w:p>
    <w:p>
      <w:r>
        <w:t>用途： 追踪 50+ 专项的归并状态，避免遗漏、重复或把摘要误当成完整原稿</w:t>
      </w:r>
    </w:p>
    <w:p>
      <w:pPr>
        <w:pStyle w:val="Heading1"/>
      </w:pPr>
      <w:r>
        <w:t>使用说明</w:t>
      </w:r>
    </w:p>
    <w:p>
      <w:r>
        <w:t>本台账不是声称所有专项全文都已被读取。当前可见历史资料包含少量正式基线文件和若干对话决策摘要。每个主题均标注来源状态：</w:t>
      </w:r>
    </w:p>
    <w:p>
      <w:pPr>
        <w:pStyle w:val="ListBullet"/>
      </w:pPr>
      <w:r>
        <w:t>**A：基线原文可读取**——已从现有历史文件读取相关内容；</w:t>
      </w:r>
    </w:p>
    <w:p>
      <w:pPr>
        <w:pStyle w:val="ListBullet"/>
      </w:pPr>
      <w:r>
        <w:t>**B：项目对话摘要支持**——主题与决策在当前项目上下文中可见，但完整专项原稿未能逐段核验；</w:t>
      </w:r>
    </w:p>
    <w:p>
      <w:pPr>
        <w:pStyle w:val="ListBullet"/>
      </w:pPr>
      <w:r>
        <w:t>**C：待原稿核对/补写**——主题应纳入总设计，但需要找回原稿或重新完成详细设计；</w:t>
      </w:r>
    </w:p>
    <w:p>
      <w:pPr>
        <w:pStyle w:val="ListBullet"/>
      </w:pPr>
      <w:r>
        <w:t>**D：待决策**——需要用户或后续 ADR 确认。</w:t>
      </w:r>
    </w:p>
    <w:p>
      <w:pPr>
        <w:pStyle w:val="Heading1"/>
      </w:pPr>
      <w:r>
        <w:t>A. 产品与部署方向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484"/>
            <w:shd w:fill="D9EAF7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  <w:sz w:val="16"/>
              </w:rPr>
              <w:t>专项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  <w:sz w:val="16"/>
              </w:rPr>
              <w:t>主要内容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  <w:sz w:val="16"/>
              </w:rPr>
              <w:t>当前状态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P-01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产品定位与价值主张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个人通用智能体、任务完成与可验证进化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A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P-02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PRD 全量功能边界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用户场景、功能需求、非目标与验收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A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P-03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Android 交互端策略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手机优先、语音/文字、任务状态与审批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B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P-04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Windows 桌面端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Windows 10/11、本地 V0.1、桌面工程路线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B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P-05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Mini PC/Linux 宿主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个人电脑/微型 Linux 部署、低资源约束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B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P-06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多端与宿主解耦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交互端与运行宿主独立决策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B/D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P-07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本地优先与可选远程服务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离线、单机、后续独立服务器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A/B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P-08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DeepSeek Harness 适配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运行时薄适配、可替换策略、PoC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A</w:t>
            </w:r>
          </w:p>
        </w:tc>
      </w:tr>
    </w:tbl>
    <w:p/>
    <w:p>
      <w:pPr>
        <w:pStyle w:val="Heading1"/>
      </w:pPr>
      <w:r>
        <w:t>B. 任务执行内核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484"/>
            <w:shd w:fill="D9EAF7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  <w:sz w:val="16"/>
              </w:rPr>
              <w:t>专项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  <w:sz w:val="16"/>
              </w:rPr>
              <w:t>主要内容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  <w:sz w:val="16"/>
              </w:rPr>
              <w:t>当前状态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R-01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统一任务入口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自然语言目标、约束、验收条件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A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R-02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意图识别与多层路由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通用入口、领域分类、能力匹配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B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R-03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专家选择与路由评测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置信度、歧义、回退与路由基准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B/C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R-04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Planner 与计划生成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任务分解、计划修订、目标范围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A/B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R-05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ReAct 循环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观察、动作、执行、重新观察与停止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A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R-06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DAG/工作流执行器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依赖、分支、并发、重试和节点状态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A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R-07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固定流程/混合 Agent/动态规划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三种执行路径与选择策略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A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R-08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工具注册与契约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Schema、权限、幂等、超时、健康检查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A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R-09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Action Guard 与风险策略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模型提议与实际执行权限分离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A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R-10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任务取消、暂停与接管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用户控制、停止传播与安全收尾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A/B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R-11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检查点与任务恢复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进程重启、状态恢复、恢复游标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A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R-12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外部副作用账本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幂等、防重复提交、状态对账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A</w:t>
            </w:r>
          </w:p>
        </w:tc>
      </w:tr>
    </w:tbl>
    <w:p/>
    <w:p>
      <w:pPr>
        <w:pStyle w:val="Heading1"/>
      </w:pPr>
      <w:r>
        <w:t>C. 记忆、上下文与用户习惯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484"/>
            <w:shd w:fill="D9EAF7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  <w:sz w:val="16"/>
              </w:rPr>
              <w:t>专项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  <w:sz w:val="16"/>
              </w:rPr>
              <w:t>主要内容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  <w:sz w:val="16"/>
              </w:rPr>
              <w:t>当前状态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M-01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用户长期记忆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偏好、稳定约束、明确授权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B/C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M-02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项目记忆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项目决策、状态、技术约束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B/C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M-03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领域记忆命名空间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专家之间隔离与受控共享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B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M-04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会话上下文管理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当前对话、最近事件、上下文窗口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B/C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M-05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任务工作记忆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计划、未决项、证据与中间结果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B/C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M-06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上下文压缩策略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预算、优先级、约束保留和摘要评测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B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M-07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压缩后的来源追踪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摘要引用原始来源、时间和可信状态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C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M-08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记忆冲突解决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新旧决策、用户偏好与技术事实分离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B/C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M-09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记忆写入门禁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候选/确认、事实核验、跨领域污染防护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C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M-10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记忆过期、删除与隐私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生命周期、派生摘要和删除传播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C</w:t>
            </w:r>
          </w:p>
        </w:tc>
      </w:tr>
    </w:tbl>
    <w:p/>
    <w:p>
      <w:pPr>
        <w:pStyle w:val="Heading1"/>
      </w:pPr>
      <w:r>
        <w:t>D. 专家、技能与工作流资产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484"/>
            <w:shd w:fill="D9EAF7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  <w:sz w:val="16"/>
              </w:rPr>
              <w:t>专项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  <w:sz w:val="16"/>
              </w:rPr>
              <w:t>主要内容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  <w:sz w:val="16"/>
              </w:rPr>
              <w:t>当前状态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C-01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专家注册表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专家能力声明、工具、模型与评测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B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C-02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共享通用内核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权限、事件、状态、预算与安全边界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B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C-03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领域专家隔离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独立配置、记忆、工具、工作流和评测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B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C-04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Tool/Skill/Workflow/Expert 边界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概念定义与调用关系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A/B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C-05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能力包机制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复杂业务能力打包与复用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A/B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C-06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工作流固化与编译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轨迹到候选 DAG、静态检查与回归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A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C-07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工作流适用性匹配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输入契约、依赖、权限、预算和兼容性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A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C-08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技能生命周期状态机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候选、验证、批准、使用、退化和退役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B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C-09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能力依赖图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影响分析、兼容范围、依赖锁定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B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C-10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能力资产去重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功能重叠、别名、合并与保留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B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C-11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资产来源与晋升证据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成功/失败案例、知识与技能晋升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B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C-12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AST 等领域专用技术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编程专家中的语法树、静态分析与专用优化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B/C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C-13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AI 漫剧能力包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分镜、素材、角色一致性、生成、配音、合成和验收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B/C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C-14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手机操作能力包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Android 权限、观察、动作验证和安全边界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B/C</w:t>
            </w:r>
          </w:p>
        </w:tc>
      </w:tr>
    </w:tbl>
    <w:p/>
    <w:p>
      <w:pPr>
        <w:pStyle w:val="Heading1"/>
      </w:pPr>
      <w:r>
        <w:t>E. 诊断、评测与进化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484"/>
            <w:shd w:fill="D9EAF7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  <w:sz w:val="16"/>
              </w:rPr>
              <w:t>专项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  <w:sz w:val="16"/>
              </w:rPr>
              <w:t>主要内容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  <w:sz w:val="16"/>
              </w:rPr>
              <w:t>当前状态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E-01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运行事件与 Trace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统一事件、关联 ID、版本和成本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A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E-02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故障分类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模型、规划、工具、供应商、网络、权限和验收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A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E-03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诊断与执行解耦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证据、根因假设、独立诊断和防止误归因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B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E-04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工具健康与 Agent 能力分离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工具可用性与智能体质量分开评估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A/B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E-05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QEEG/独立评测体系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固定测试集、回归、质量、成本和时延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A/B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E-06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评测集版本与数据治理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版本、覆盖率、污染和可复现性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C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E-07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进化候选生成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从失败、成本和质量退化生成提案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A/B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E-08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隔离实验环境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候选分支、数据隔离、资源与权限隔离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A/B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E-09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发布门禁与自动晋级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allowlist、独立测试、灰度与回滚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A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E-10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稳定轨道/候选轨道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防止候选污染生产运行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A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E-11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自我改进收益评估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成功率、恢复率、质量、成本与时延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A/B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E-12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失败案例转回归资产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可复现案例与防止问题重复出现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B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E-13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进化控制器治理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候选不能修改权限/门禁/稳定指针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A/B</w:t>
            </w:r>
          </w:p>
        </w:tc>
      </w:tr>
    </w:tbl>
    <w:p/>
    <w:p>
      <w:pPr>
        <w:pStyle w:val="Heading1"/>
      </w:pPr>
      <w:r>
        <w:t>F. 主动目标与资源治理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484"/>
            <w:shd w:fill="D9EAF7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  <w:sz w:val="16"/>
              </w:rPr>
              <w:t>专项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  <w:sz w:val="16"/>
              </w:rPr>
              <w:t>主要内容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  <w:sz w:val="16"/>
              </w:rPr>
              <w:t>当前状态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G-01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长期目标注册表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目标来源、成功条件、状态与期限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B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G-02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主动机会发现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从运行证据发现候选，不直接执行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B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G-03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目标价值评估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收益、证据、成本、风险与机会成本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B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G-04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自主等级与授权矩阵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建议、准备、沙箱、授权内执行、长期推进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B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G-05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目标状态机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等待、暂停、阻塞、完成、取消和过期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B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G-06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无进展与停止控制器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防止无限循环、预算耗尽与目标膨胀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B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G-07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子目标递归治理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深度、数量、循环依赖和重复目标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B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G-08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前台/后台资源协调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用户任务优先、后台配额与公平调度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B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G-09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预算与费用控制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预留、对账、硬上限和升级审批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A/B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G-10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主动任务结果归因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预期收益与实际收益对比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B/C</w:t>
            </w:r>
          </w:p>
        </w:tc>
      </w:tr>
    </w:tbl>
    <w:p/>
    <w:p>
      <w:pPr>
        <w:pStyle w:val="Heading1"/>
      </w:pPr>
      <w:r>
        <w:t>G. 离线、同步、分发与可靠性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484"/>
            <w:shd w:fill="D9EAF7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  <w:sz w:val="16"/>
              </w:rPr>
              <w:t>专项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  <w:sz w:val="16"/>
              </w:rPr>
              <w:t>主要内容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  <w:sz w:val="16"/>
              </w:rPr>
              <w:t>当前状态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O-01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本地事件持久化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先写本地、事务一致性和容量治理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A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O-02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可靠同步协议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至少一次传输、幂等去重、持久化回执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A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O-03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离线诊断包导出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筛选、清单、摘要、脱敏和离线导出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A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O-04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诊断包受控导入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隔离、路径安全、格式验证与审计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A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O-05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Runtime Manifest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固定任务运行时版本组合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A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O-06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双端进化协同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上行证据、下行候选/版本、线上反馈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A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O-07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版本分发与激活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签名、兼容、灰度、健康检查与回滚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A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O-08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离线恢复与安全降级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网络/模型/宿主不可用时的行为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A/B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O-09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本地存储与附件治理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大文件引用、哈希、保留和清理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A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O-10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多设备一致性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版本对账、设备状态和重复激活防护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A/B</w:t>
            </w:r>
          </w:p>
        </w:tc>
      </w:tr>
    </w:tbl>
    <w:p/>
    <w:p>
      <w:pPr>
        <w:pStyle w:val="Heading1"/>
      </w:pPr>
      <w:r>
        <w:t>H. 安全、工程化与验证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484"/>
            <w:shd w:fill="D9EAF7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  <w:sz w:val="16"/>
              </w:rPr>
              <w:t>专项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  <w:sz w:val="16"/>
              </w:rPr>
              <w:t>主要内容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  <w:sz w:val="16"/>
              </w:rPr>
              <w:t>当前状态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S-01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权限与安全策略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最小权限、动作风险和用户授权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A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S-02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隐私与敏感数据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日志最小化、脱敏、保留和删除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A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S-03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模型输出不可信边界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Schema、注入防护、工具参数校验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A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S-04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本地沙箱与执行隔离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文件、进程、网络和资源隔离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C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S-05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审计与可解释性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决策证据、审批、发布与回滚记录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A/B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S-06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ADR 决策管理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决策状态、取代关系、影响范围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C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S-07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端到端验收体系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单元、集成、回归、失败注入与复现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A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S-08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V0.1 工程目录与选型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模块化单体、SQLite、Git、Mock Runtime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A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S-09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运行时可替换性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Harness 适配器、固定版本与 PoC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A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S-10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性能与低资源设备适配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CPU/RAM/磁盘/温度/电量与调度策略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C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S-11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配置与密钥管理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本地秘密、环境配置和日志脱敏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C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S-12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备份、迁移与恢复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数据库迁移、资产备份和故障演练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C</w:t>
            </w:r>
          </w:p>
        </w:tc>
      </w:tr>
    </w:tbl>
    <w:p/>
    <w:p>
      <w:pPr>
        <w:pStyle w:val="Heading1"/>
      </w:pPr>
      <w:r>
        <w:t>需要补齐的关键材料</w:t>
      </w:r>
    </w:p>
    <w:p>
      <w:pPr>
        <w:pStyle w:val="ListNumber"/>
      </w:pPr>
      <w:r>
        <w:t>找回或重建每个 B/C 项目的原始详细设计正文，不能仅凭目录就宣称完成。</w:t>
      </w:r>
    </w:p>
    <w:p>
      <w:pPr>
        <w:pStyle w:val="ListNumber"/>
      </w:pPr>
      <w:r>
        <w:t>对所有缩写建立正式术语表：中文名、英文名、唯一职责、输入输出、所有者、禁止承担职责。</w:t>
      </w:r>
    </w:p>
    <w:p>
      <w:pPr>
        <w:pStyle w:val="ListNumber"/>
      </w:pPr>
      <w:r>
        <w:t>为每个专项增加统一章节：目标/非目标、边界、依赖、数据契约、状态机、失败处理、安全、评测、V0.1/后续范围。</w:t>
      </w:r>
    </w:p>
    <w:p>
      <w:pPr>
        <w:pStyle w:val="ListNumber"/>
      </w:pPr>
      <w:r>
        <w:t>每个专项至少关联一个端到端场景和验收用例。</w:t>
      </w:r>
    </w:p>
    <w:p>
      <w:pPr>
        <w:pStyle w:val="ListNumber"/>
      </w:pPr>
      <w:r>
        <w:t>所有架构冲突登记为 ADR，记录“旧方案—新方案—原因—影响—迁移路径”。</w:t>
      </w:r>
    </w:p>
    <w:p>
      <w:pPr>
        <w:pStyle w:val="ListNumber"/>
      </w:pPr>
      <w:r>
        <w:t>统一接口 Schema 后，生成 JSON Schema/OpenAPI/事件协议等可供工程使用的文件。</w:t>
      </w:r>
    </w:p>
    <w:p>
      <w:pPr>
        <w:pStyle w:val="ListNumber"/>
      </w:pPr>
      <w:r>
        <w:t>将“设计建议”“已决定”“待验证”“已实现”四种状态分开标注。</w:t>
      </w:r>
    </w:p>
    <w:p>
      <w:pPr>
        <w:pStyle w:val="Heading1"/>
      </w:pPr>
      <w:r>
        <w:t>专项覆盖计数</w:t>
      </w:r>
    </w:p>
    <w:p>
      <w:r>
        <w:t>本目录包含 80 个专项主题条目。它们用于完整追踪与审计，不代表 80 篇历史原稿都已被读取或逐字合并。A/B/C/D 状态必须在最终汇编时逐项复核。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EvoAgent｜架构审计与设计汇编｜Draft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1E375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1E375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1E375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Microsoft YaHei"/>
      <w:color w:val="1E375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