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架构决策记录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架构决策记录（ADR）正式台账</w:t>
      </w:r>
    </w:p>
    <w:p>
      <w:pPr>
        <w:pStyle w:val="Heading1"/>
      </w:pPr>
      <w:r>
        <w:t>ADR-001：Android 手机作为第一正式终端</w:t>
      </w:r>
    </w:p>
    <w:p>
      <w:r>
        <w:t>状态：已确认。 Android 是首发交互端；Windows、平板等为后续扩展。端侧保留交互、授权、设备桥接、离线事件和更新验证能力。</w:t>
      </w:r>
    </w:p>
    <w:p>
      <w:pPr>
        <w:pStyle w:val="Heading1"/>
      </w:pPr>
      <w:r>
        <w:t>ADR-002：本地优先，远程能力可选</w:t>
      </w:r>
    </w:p>
    <w:p>
      <w:r>
        <w:t>状态：已确认。 任务状态、关键事件、检查点和副作用账本必须有可靠持久化；远端不可用时降级但不丢证据。</w:t>
      </w:r>
    </w:p>
    <w:p>
      <w:pPr>
        <w:pStyle w:val="Heading1"/>
      </w:pPr>
      <w:r>
        <w:t>ADR-003：受保护共享内核 + 独立领域专家</w:t>
      </w:r>
    </w:p>
    <w:p>
      <w:r>
        <w:t>状态：已确认。 专家独立演进提示词、工具、技能、工作流、记忆和评测；核心安全、权限、Task of Record 和发布门禁受保护。</w:t>
      </w:r>
    </w:p>
    <w:p>
      <w:pPr>
        <w:pStyle w:val="Heading1"/>
      </w:pPr>
      <w:r>
        <w:t>ADR-004：工作流优先，动态规划受限</w:t>
      </w:r>
    </w:p>
    <w:p>
      <w:r>
        <w:t>状态：已确认。 先匹配已验证工作流；主流程稳定但局部需要推理时采用混合 Agent；无适用流程才动态规划。</w:t>
      </w:r>
    </w:p>
    <w:p>
      <w:pPr>
        <w:pStyle w:val="Heading1"/>
      </w:pPr>
      <w:r>
        <w:t>ADR-005：工具调用统一经过 Action Guard</w:t>
      </w:r>
    </w:p>
    <w:p>
      <w:r>
        <w:t>状态：已确认。 模型输出只是动作提议；工具 Schema、权限、风险、预算、幂等和状态检查必须在唯一执行边界完成。</w:t>
      </w:r>
    </w:p>
    <w:p>
      <w:pPr>
        <w:pStyle w:val="Heading1"/>
      </w:pPr>
      <w:r>
        <w:t>ADR-006：事件、检查点与副作用账本分离</w:t>
      </w:r>
    </w:p>
    <w:p>
      <w:r>
        <w:t>状态：已确认。 事件记录事实，检查点保存恢复状态，副作用账本用于外部状态对账和防重复。</w:t>
      </w:r>
    </w:p>
    <w:p>
      <w:pPr>
        <w:pStyle w:val="Heading1"/>
      </w:pPr>
      <w:r>
        <w:t>ADR-007：稳定轨道与进化轨道隔离</w:t>
      </w:r>
    </w:p>
    <w:p>
      <w:r>
        <w:t>状态：已确认。 候选不直接影响稳定任务；评测门禁和发布控制器独立；历史版本不可变、可回滚。</w:t>
      </w:r>
    </w:p>
    <w:p>
      <w:pPr>
        <w:pStyle w:val="Heading1"/>
      </w:pPr>
      <w:r>
        <w:t>ADR-008：共享压缩引擎 + 领域上下文策略</w:t>
      </w:r>
    </w:p>
    <w:p>
      <w:r>
        <w:t>状态：已确认。 算法、预算和评测框架共享；记忆命名空间、权限、领域策略和保留周期隔离。</w:t>
      </w:r>
    </w:p>
    <w:p>
      <w:pPr>
        <w:pStyle w:val="Heading1"/>
      </w:pPr>
      <w:r>
        <w:t>ADR-009：八个逻辑服务不等于八个微服务</w:t>
      </w:r>
    </w:p>
    <w:p>
      <w:r>
        <w:t>状态：已确认。 先以模块化单体实现清晰逻辑边界；根据负载、安全和故障隔离证据再拆分物理部署。</w:t>
      </w:r>
    </w:p>
    <w:p>
      <w:pPr>
        <w:pStyle w:val="Heading1"/>
      </w:pPr>
      <w:r>
        <w:t>ADR-010：DeepSeek Harness 作为可替换 Runtime 候选</w:t>
      </w:r>
    </w:p>
    <w:p>
      <w:r>
        <w:t>状态：方向已确认；具体能力需 PoC。 业务层依赖 AgentRuntimeAdapter；DSH API、插件生命周期、取消/恢复和沙箱能力在固定 commit 验证。</w:t>
      </w:r>
    </w:p>
    <w:p>
      <w:pPr>
        <w:pStyle w:val="Heading1"/>
      </w:pPr>
      <w:r>
        <w:t>ADR-011：候选不拥有安全规则、评测门槛和发布指针</w:t>
      </w:r>
    </w:p>
    <w:p>
      <w:r>
        <w:t>状态：已确认。 这些属于受保护控制面，不可由自进化候选修改或自我批准。</w:t>
      </w:r>
    </w:p>
    <w:p>
      <w:pPr>
        <w:pStyle w:val="Heading1"/>
      </w:pPr>
      <w:r>
        <w:t>ADR-012：任务运行绑定不可变 Runtime Manifest</w:t>
      </w:r>
    </w:p>
    <w:p>
      <w:r>
        <w:t>状态：已确认。 运行期间固定组件版本；升级需明确恢复/迁移策略，不自动热切换。</w:t>
      </w:r>
    </w:p>
    <w:p>
      <w:pPr>
        <w:pStyle w:val="Heading1"/>
      </w:pPr>
      <w:r>
        <w:t>ADR-013：主动机会不等于授权任务</w:t>
      </w:r>
    </w:p>
    <w:p>
      <w:r>
        <w:t>状态：已确认。 机会发现仅创建候选；通过价值、证据、授权、预算和停止条件检查后才能启动任务。</w:t>
      </w:r>
    </w:p>
    <w:p>
      <w:pPr>
        <w:pStyle w:val="Heading1"/>
      </w:pPr>
      <w:r>
        <w:t>ADR-014：稳定主题 ID 作为正式索引</w:t>
      </w:r>
    </w:p>
    <w:p>
      <w:r>
        <w:t>状态：已确认。 历史部分专项编号无法从归档完整恢复；使用 P/R/M/C/E/G/O/S 等稳定 ID，保留可恢复的 CLEK、ACMO、ARCBG、APRO、QEEG、KCLG、AGIG 名称，不虚构其他历史编号。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