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Android 服务端协同与控制器详细设计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Android 首发终端、服务端逻辑服务与控制器详细设计</w:t>
      </w:r>
    </w:p>
    <w:p>
      <w:r>
        <w:t>正式设计基线 1.0</w:t>
      </w:r>
    </w:p>
    <w:p>
      <w:pPr>
        <w:pStyle w:val="Heading1"/>
      </w:pPr>
      <w:r>
        <w:t>一、Android 七个子系统</w:t>
      </w:r>
    </w:p>
    <w:p>
      <w:pPr>
        <w:pStyle w:val="Heading2"/>
      </w:pPr>
      <w:r>
        <w:t>A-01｜交互、任务历史与审批</w:t>
      </w:r>
    </w:p>
    <w:p>
      <w:r>
        <w:t>目标与范围： 承载目标输入、语音/文字、任务状态、关键动作审批、结果与部分完成展示。</w:t>
      </w:r>
    </w:p>
    <w:p>
      <w:r>
        <w:t>设计决策： 审批绑定具体动作摘要、目标对象、范围、有效期和一次性语义；UI 不直接执行后端逻辑。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创建/取消/审批后 UI 与 Task of Record 一致；离线状态明确区分本地执行、待同步和远端不可用。</w:t>
      </w:r>
    </w:p>
    <w:p>
      <w:pPr>
        <w:pStyle w:val="Heading2"/>
      </w:pPr>
      <w:r>
        <w:t>A-02｜端侧运行时与本地工具桥接</w:t>
      </w:r>
    </w:p>
    <w:p>
      <w:r>
        <w:t>目标与范围： 执行无需远端模型的本地任务、设备信息读取、文件选择和已授权原生操作。</w:t>
      </w:r>
    </w:p>
    <w:p>
      <w:r>
        <w:t>设计决策： 能力声明平台、权限、离线可用性、幂等策略和风险；高风险操作仍经过 Action Guard。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权限缺失时拒绝；进程被杀后状态可恢复；工具结果可验证并生成事件。</w:t>
      </w:r>
    </w:p>
    <w:p>
      <w:pPr>
        <w:pStyle w:val="Heading2"/>
      </w:pPr>
      <w:r>
        <w:t>A-03｜权限与无障碍安全</w:t>
      </w:r>
    </w:p>
    <w:p>
      <w:r>
        <w:t>目标与范围： 管理运行时权限、无障碍服务、屏幕观察、控件定位和动作验证。</w:t>
      </w:r>
    </w:p>
    <w:p>
      <w:r>
        <w:t>设计决策： 最小权限、可见状态检查；屏幕内容不默认上传；界面变化或目标不确定时暂停。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目标控件不匹配时不点击；权限撤销立即阻断；敏感动作要求具体审批。</w:t>
      </w:r>
    </w:p>
    <w:p>
      <w:pPr>
        <w:pStyle w:val="Heading2"/>
      </w:pPr>
      <w:r>
        <w:t>A-04｜端侧持久化、事件队列与检查点</w:t>
      </w:r>
    </w:p>
    <w:p>
      <w:r>
        <w:t>目标与范围： 保存 Task/Run 状态、关键事件、Manifest、同步状态和恢复检查点。</w:t>
      </w:r>
    </w:p>
    <w:p>
      <w:r>
        <w:t>设计决策： 事务型本地存储；大附件独立管理；未同步关键事件不静默删除。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断网、进程杀死和设备重启后数据仍在；容量不足时告警并保留关键证据。</w:t>
      </w:r>
    </w:p>
    <w:p>
      <w:pPr>
        <w:pStyle w:val="Heading2"/>
      </w:pPr>
      <w:r>
        <w:t>A-05｜端侧记忆、上下文与离线缓存</w:t>
      </w:r>
    </w:p>
    <w:p>
      <w:r>
        <w:t>目标与范围： 管理本地短期上下文、用户偏好、工作流缓存和离线能力声明。</w:t>
      </w:r>
    </w:p>
    <w:p>
      <w:r>
        <w:t>设计决策： 缓存带版本、来源、失效时间和权限；离线推断需标注能力降级。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过期工作流不执行；敏感记忆不跨专家泄露；离线结果不伪装成远端验证。</w:t>
      </w:r>
    </w:p>
    <w:p>
      <w:pPr>
        <w:pStyle w:val="Heading2"/>
      </w:pPr>
      <w:r>
        <w:t>A-06｜同步、版本校验、激活与回滚</w:t>
      </w:r>
    </w:p>
    <w:p>
      <w:r>
        <w:t>目标与范围： 同步事件、对账版本、下载能力包并在安全时机激活。</w:t>
      </w:r>
    </w:p>
    <w:p>
      <w:r>
        <w:t>设计决策： 更新先下载到暂存区，验证签名/哈希/兼容/授权后原子切换；保留上一稳定版本。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损坏/不兼容制品不激活；健康检查失败可回滚；断网后可续传。</w:t>
      </w:r>
    </w:p>
    <w:p>
      <w:pPr>
        <w:pStyle w:val="Heading2"/>
      </w:pPr>
      <w:r>
        <w:t>A-07｜端侧诊断、隐私与导出</w:t>
      </w:r>
    </w:p>
    <w:p>
      <w:r>
        <w:t>目标与范围： 查看积压、错误、运行版本并离线导出诊断包。</w:t>
      </w:r>
    </w:p>
    <w:p>
      <w:r>
        <w:t>设计决策： 默认导出结构化日志和脱敏元数据；原始对话、截图和附件需单独选择。</w:t>
      </w:r>
    </w:p>
    <w:p>
      <w:r>
        <w:t>接口与数据： 统一使用 task_id/run_id、Runtime Manifest、结构化事件、审批引用和版本化工具契约；端侧数据按命名空间和隐私级别管理。</w:t>
      </w:r>
    </w:p>
    <w:p>
      <w:r>
        <w:t>异常恢复： 端侧状态不确定时保留证据并暂停非幂等动作；远端不可用时明确降级，不把离线执行伪装成云端验证。</w:t>
      </w:r>
    </w:p>
    <w:p>
      <w:r>
        <w:t>验收： 诊断包可离线生成并校验摘要；秘密扫描通过；导出不改变同步状态。</w:t>
      </w:r>
    </w:p>
    <w:p>
      <w:pPr>
        <w:pStyle w:val="Heading1"/>
      </w:pPr>
      <w:r>
        <w:t>二、服务端八个逻辑服务</w:t>
      </w:r>
    </w:p>
    <w:p>
      <w:pPr>
        <w:pStyle w:val="Heading2"/>
      </w:pPr>
      <w:r>
        <w:t>SV-01｜任务编排服务</w:t>
      </w:r>
    </w:p>
    <w:p>
      <w:r>
        <w:t>职责： 管理 Task/Run/Node 状态，串接 Router、Planner、DAG、ReAct、Recovery、Budget 和 Acceptance。</w:t>
      </w:r>
    </w:p>
    <w:p>
      <w:r>
        <w:t>边界： 不把 Goal、Sync 或资产生命周期写入任务状态字段。</w:t>
      </w:r>
    </w:p>
    <w:p>
      <w:r>
        <w:t>验收： 状态迁移、取消、重启恢复和幂等创建通过集成测试。</w:t>
      </w:r>
    </w:p>
    <w:p>
      <w:pPr>
        <w:pStyle w:val="Heading2"/>
      </w:pPr>
      <w:r>
        <w:t>SV-02｜模型网关服务</w:t>
      </w:r>
    </w:p>
    <w:p>
      <w:r>
        <w:t>职责： 管理供应商适配、模型档案、路由、超时、限流、结构化输出和成本对账。</w:t>
      </w:r>
    </w:p>
    <w:p>
      <w:r>
        <w:t>边界： 选择模型不等于授予工具权限；供应商故障与模型质量退化分开记录。</w:t>
      </w:r>
    </w:p>
    <w:p>
      <w:r>
        <w:t>验收： 每个模型档案有兼容/成本测试；限流和超时不导致副作用重复。</w:t>
      </w:r>
    </w:p>
    <w:p>
      <w:pPr>
        <w:pStyle w:val="Heading2"/>
      </w:pPr>
      <w:r>
        <w:t>SV-03｜能力与工具服务</w:t>
      </w:r>
    </w:p>
    <w:p>
      <w:r>
        <w:t>职责： 维护 Tool、Skill、Workflow、Expert、Capability Pack、依赖图、版本和调用网关。</w:t>
      </w:r>
    </w:p>
    <w:p>
      <w:r>
        <w:t>边界： 工具执行统一经过 Action Guard；资产发布与资产运行隔离。</w:t>
      </w:r>
    </w:p>
    <w:p>
      <w:r>
        <w:t>验收： 无契约或依赖不兼容的能力不能激活。</w:t>
      </w:r>
    </w:p>
    <w:p>
      <w:pPr>
        <w:pStyle w:val="Heading2"/>
      </w:pPr>
      <w:r>
        <w:t>SV-04｜记忆与上下文服务</w:t>
      </w:r>
    </w:p>
    <w:p>
      <w:r>
        <w:t>职责： 管理分层记忆、检索、可信状态、冲突、摘要、ContextManifest 和删除传播。</w:t>
      </w:r>
    </w:p>
    <w:p>
      <w:r>
        <w:t>边界： 上下文不覆盖原始事实；记忆、运行证据和诊断假设分型存储。</w:t>
      </w:r>
    </w:p>
    <w:p>
      <w:r>
        <w:t>验收： 来源可追溯、命名空间隔离和压缩回归通过。</w:t>
      </w:r>
    </w:p>
    <w:p>
      <w:pPr>
        <w:pStyle w:val="Heading2"/>
      </w:pPr>
      <w:r>
        <w:t>SV-05｜同步与观测服务</w:t>
      </w:r>
    </w:p>
    <w:p>
      <w:r>
        <w:t>职责： 接收事件批次、幂等去重、持久化回执、版本对账和客户端健康反馈。</w:t>
      </w:r>
    </w:p>
    <w:p>
      <w:r>
        <w:t>边界： ACK 只能在持久化后返回；日志上传与版本分发独立。</w:t>
      </w:r>
    </w:p>
    <w:p>
      <w:r>
        <w:t>验收： 重复上传和部分成功测试通过；服务端重启不丢回执。</w:t>
      </w:r>
    </w:p>
    <w:p>
      <w:pPr>
        <w:pStyle w:val="Heading2"/>
      </w:pPr>
      <w:r>
        <w:t>SV-06｜进化与诊断服务</w:t>
      </w:r>
    </w:p>
    <w:p>
      <w:r>
        <w:t>职责： 从证据创建问题案例、根因假设、候选变更和隔离实验计划。</w:t>
      </w:r>
    </w:p>
    <w:p>
      <w:r>
        <w:t>边界： 只生成候选，不修改稳定资产，不批准自身发布。</w:t>
      </w:r>
    </w:p>
    <w:p>
      <w:r>
        <w:t>验收： 候选绑定证据、基线、影响范围、预算和评测计划。</w:t>
      </w:r>
    </w:p>
    <w:p>
      <w:pPr>
        <w:pStyle w:val="Heading2"/>
      </w:pPr>
      <w:r>
        <w:t>SV-07｜评测与发布门禁服务</w:t>
      </w:r>
    </w:p>
    <w:p>
      <w:r>
        <w:t>职责： 执行独立质量、回归、安全、兼容和成本评测。</w:t>
      </w:r>
    </w:p>
    <w:p>
      <w:r>
        <w:t>边界： 评测集、门槛和基线受保护；候选不能控制结果收集或门槛变更。</w:t>
      </w:r>
    </w:p>
    <w:p>
      <w:r>
        <w:t>验收： 缺报告、关键安全失败或样本不足时不晋级。</w:t>
      </w:r>
    </w:p>
    <w:p>
      <w:pPr>
        <w:pStyle w:val="Heading2"/>
      </w:pPr>
      <w:r>
        <w:t>SV-08｜版本分发服务</w:t>
      </w:r>
    </w:p>
    <w:p>
      <w:r>
        <w:t>职责： 生成并分发签名 Release Manifest、策略包、工作流包、能力包及客户端制品。</w:t>
      </w:r>
    </w:p>
    <w:p>
      <w:r>
        <w:t>边界： 按平台/能力/工具契约筛选；支持灰度、暂停、撤回、健康观察和回滚。</w:t>
      </w:r>
    </w:p>
    <w:p>
      <w:r>
        <w:t>验收： 客户端校验签名与兼容性；应用结果可回传并审计。</w:t>
      </w:r>
    </w:p>
    <w:p>
      <w:pPr>
        <w:pStyle w:val="Heading1"/>
      </w:pPr>
      <w:r>
        <w:t>三、四个受保护控制器</w:t>
      </w:r>
    </w:p>
    <w:p>
      <w:pPr>
        <w:pStyle w:val="Heading2"/>
      </w:pPr>
      <w:r>
        <w:t>CTRL-01｜运行时控制器</w:t>
      </w:r>
    </w:p>
    <w:p>
      <w:r>
        <w:t>职责： 掌握任务执行状态、动作授权、预算、取消、恢复与验收编排。</w:t>
      </w:r>
    </w:p>
    <w:p>
      <w:r>
        <w:t>禁止越权： Planner/模型/专家不得直接改变权威状态或绕过策略门。</w:t>
      </w:r>
    </w:p>
    <w:p>
      <w:pPr>
        <w:pStyle w:val="Heading2"/>
      </w:pPr>
      <w:r>
        <w:t>CTRL-02｜进化控制器</w:t>
      </w:r>
    </w:p>
    <w:p>
      <w:r>
        <w:t>职责： 管理诊断队列、候选创建、实验计划、资源配额和停止条件。</w:t>
      </w:r>
    </w:p>
    <w:p>
      <w:r>
        <w:t>禁止越权： 不能修改安全规则、评测门槛、稳定指针或批准自身候选。</w:t>
      </w:r>
    </w:p>
    <w:p>
      <w:pPr>
        <w:pStyle w:val="Heading2"/>
      </w:pPr>
      <w:r>
        <w:t>CTRL-03｜评测门禁控制器</w:t>
      </w:r>
    </w:p>
    <w:p>
      <w:r>
        <w:t>职责： 管理评测执行、基线比较、质量/安全/兼容性判定。</w:t>
      </w:r>
    </w:p>
    <w:p>
      <w:r>
        <w:t>禁止越权： 不能因候选失败而自动放宽标准；测试集版本必须可追溯。</w:t>
      </w:r>
    </w:p>
    <w:p>
      <w:pPr>
        <w:pStyle w:val="Heading2"/>
      </w:pPr>
      <w:r>
        <w:t>CTRL-04｜发布控制器</w:t>
      </w:r>
    </w:p>
    <w:p>
      <w:r>
        <w:t>职责： 管理不可变版本、签名制品、灰度、晋级、暂停和回滚。</w:t>
      </w:r>
    </w:p>
    <w:p>
      <w:r>
        <w:t>禁止越权： 评测通过不自动等于发布授权；每次切换保留回滚目标。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