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8"/>
        <w:jc w:val="center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大学生创新创业训练计划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创新训练类</w:t>
      </w:r>
    </w:p>
    <w:p>
      <w:pPr>
        <w:pStyle w:val="Heading1"/>
        <w:spacing w:line="300" w:lineRule="auto" w:after="264"/>
        <w:jc w:val="center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「桩」点北邮</w:t>
      </w:r>
    </w:p>
    <w:p>
      <w:pPr>
        <w:spacing w:line="300" w:lineRule="auto" w:after="216"/>
        <w:jc w:val="center"/>
      </w:pPr>
      <w:r>
        <w:rPr>
          <w:rFonts w:ascii="微软雅黑" w:hAnsi="微软雅黑" w:eastAsia="微软雅黑" w:cs="微软雅黑" w:hint="eastAsia"/>
          <w:b w:val="0"/>
          <w:color w:val="212121"/>
          <w:sz w:val="36"/>
          <w:lang w:eastAsia="zh-CN"/>
        </w:rPr>
        <w:t>充电桩车位防占系统</w:t>
      </w:r>
      <w:r>
        <w:rPr>
          <w:rFonts w:ascii="微软雅黑" w:hAnsi="微软雅黑"/>
          <w:b w:val="0"/>
          <w:color w:val="212121"/>
          <w:sz w:val="3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212121"/>
          <w:sz w:val="36"/>
          <w:lang w:eastAsia="zh-CN"/>
        </w:rPr>
        <w:t>项目计划书</w:t>
      </w:r>
    </w:p>
    <w:p>
      <w:pPr>
        <w:spacing w:after="384"/>
        <w:jc w:val="center"/>
      </w:pPr>
      <w:r>
        <w:rPr>
          <w:rFonts w:ascii="DIN Next" w:hAnsi="DIN Next"/>
          <w:color w:val="616161"/>
          <w:sz w:val="16"/>
        </w:rPr>
        <w:t>BUPT Charging Guard — EV Parking Anti-Occupation System</w:t>
      </w:r>
    </w:p>
    <w:p>
      <w:pPr>
        <w:spacing w:line="384" w:lineRule="auto" w:after="48"/>
        <w:jc w:val="center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项目负责人：吕浩　　指导教师：景文鹏（副教授）</w:t>
      </w:r>
    </w:p>
    <w:p>
      <w:pPr>
        <w:spacing w:line="384" w:lineRule="auto" w:after="48"/>
        <w:jc w:val="center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团队成员：吕浩</w:t>
      </w:r>
      <w:r>
        <w:rPr>
          <w:color w:val="212121"/>
          <w:sz w:val="16"/>
        </w:rPr>
        <w:t xml:space="preserve"> · 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汤瑾睿</w:t>
      </w:r>
      <w:r>
        <w:rPr>
          <w:color w:val="212121"/>
          <w:sz w:val="16"/>
        </w:rPr>
        <w:t xml:space="preserve"> · 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吴和庆</w:t>
      </w:r>
    </w:p>
    <w:p>
      <w:pPr>
        <w:spacing w:line="384" w:lineRule="auto" w:after="48"/>
        <w:jc w:val="center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依托学院：北京邮电大学 信息与通信工程学院</w:t>
      </w:r>
    </w:p>
    <w:p>
      <w:pPr>
        <w:spacing w:line="384" w:lineRule="auto" w:after="48"/>
        <w:jc w:val="center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建设周期：</w:t>
      </w:r>
      <w:r>
        <w:rPr>
          <w:color w:val="212121"/>
          <w:sz w:val="16"/>
        </w:rPr>
        <w:t xml:space="preserve">8 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 xml:space="preserve">个月（四阶段）　</w:t>
      </w:r>
      <w:r>
        <w:rPr>
          <w:color w:val="212121"/>
          <w:sz w:val="16"/>
        </w:rPr>
        <w:t>|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 xml:space="preserve">　文档版本：</w:t>
      </w:r>
      <w:r>
        <w:rPr>
          <w:color w:val="212121"/>
          <w:sz w:val="16"/>
        </w:rPr>
        <w:t>v1.0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 xml:space="preserve">　</w:t>
      </w:r>
      <w:r>
        <w:rPr>
          <w:color w:val="212121"/>
          <w:sz w:val="16"/>
        </w:rPr>
        <w:t>|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 xml:space="preserve">　编制日期：</w:t>
      </w:r>
      <w:r>
        <w:rPr>
          <w:color w:val="212121"/>
          <w:sz w:val="16"/>
        </w:rPr>
        <w:t>2026-09-14</w:t>
      </w:r>
    </w:p>
    <w:p>
      <w:pPr>
        <w:spacing w:line="384" w:lineRule="auto" w:before="126"/>
        <w:jc w:val="center"/>
      </w:pP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编制依据：立项申请书、开发大纲、设计文档、</w:t>
      </w:r>
      <w:r>
        <w:rPr>
          <w:color w:val="616161"/>
          <w:sz w:val="14"/>
        </w:rPr>
        <w:t>docs/CONTRACT.md v1.2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、</w:t>
      </w:r>
      <w:r>
        <w:rPr>
          <w:color w:val="616161"/>
          <w:sz w:val="14"/>
        </w:rPr>
        <w:t>docs/PLAN_4WEEKS.md v1.0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62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一、项目背景与意义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二、项目目标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三、项目范围与边界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四、技术方案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五、组织与分工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六、进度计划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七、资源与预算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八、质量管理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九、风险管理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十、预期成果与效益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附录：事实来源</w:t>
        </w:r>
      </w:hyperlink>
    </w:p>
    <w:p>
      <w:pPr>
        <w:pStyle w:val="Heading2"/>
        <w:spacing w:line="300" w:lineRule="auto" w:after="73"/>
      </w:pPr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执行摘要</w:t>
      </w:r>
    </w:p>
    <w:p>
      <w:pPr>
        <w:spacing w:after="126"/>
        <w:jc w:val="both"/>
      </w:pPr>
      <w:r>
        <w:rPr>
          <w:rFonts w:ascii="DIN Next" w:hAnsi="DIN Next"/>
          <w:color w:val="616161"/>
          <w:sz w:val="14"/>
        </w:rPr>
        <w:t>EXECUTIVE SUMMARY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项目概况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项目全称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「桩」点北邮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——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充电桩车位防占系统</w:t>
            </w:r>
          </w:p>
        </w:tc>
      </w:tr>
      <w:tr>
        <w:tc>
          <w:tcPr>
            <w:tcW w:type="dxa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英文名称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BUPT Charging Guard: EV Parking Anti-Occupation System</w:t>
            </w:r>
          </w:p>
        </w:tc>
      </w:tr>
      <w:tr>
        <w:tc>
          <w:tcPr>
            <w:tcW w:type="dxa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项目类型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大学生创新创业训练计划（创新训练类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自主探索）</w:t>
            </w:r>
          </w:p>
        </w:tc>
      </w:tr>
      <w:tr>
        <w:tc>
          <w:tcPr>
            <w:tcW w:type="dxa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依托学院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北京邮电大学 信息与通信工程学院</w:t>
            </w:r>
          </w:p>
        </w:tc>
      </w:tr>
      <w:tr>
        <w:tc>
          <w:tcPr>
            <w:tcW w:type="dxa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项目负责人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吕浩（学号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2024210416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指导教师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景文鹏（副教授）</w:t>
            </w:r>
          </w:p>
        </w:tc>
      </w:tr>
      <w:tr>
        <w:tc>
          <w:tcPr>
            <w:tcW w:type="dxa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团队成员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吕浩（统筹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集成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前端）、汤瑾睿（后端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数据库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算法）、吴和庆（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UI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美术）</w:t>
            </w:r>
          </w:p>
        </w:tc>
      </w:tr>
      <w:tr>
        <w:tc>
          <w:tcPr>
            <w:tcW w:type="dxa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建设周期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个月，分需求与方案、识别与数据、提醒与平台、验收与结题四个阶段</w:t>
            </w:r>
          </w:p>
        </w:tc>
      </w:tr>
      <w:tr>
        <w:tc>
          <w:tcPr>
            <w:tcW w:type="dxa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系统形态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演示系统原型（校园场景），完整跑通业务闭环，不做生产部署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「桩」点北邮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充电桩车位防占系统，面向高校校园充电车位的智能监管，以「视觉识别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设备状态」融合方式判定燃油车违规占位与新能源车充满未移车，形成「识别</w:t>
      </w:r>
      <w:r>
        <w:rPr>
          <w:sz w:val="20"/>
        </w:rPr>
        <w:t>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判断</w:t>
      </w:r>
      <w:r>
        <w:rPr>
          <w:sz w:val="20"/>
        </w:rPr>
        <w:t>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提醒」自动闭环。项目已完成接口契约定稿、数据库四表与种子数据、规则引擎、设计系统与后端接口层，端到端闭环已打通；前端六页管理后台与计算机视觉真实模型为当前主线。项目最终交付可演示的系统原型、核心模块代码、技术报告、用户使用说明书与结题报告，并申请软件著作权。</w:t>
      </w:r>
    </w:p>
    <w:p>
      <w:bookmarkStart w:id="11" w:name="_Toc_section_1"/>
      <w:bookmarkStart w:id="0" w:name="section-1"/>
      <w:pPr>
        <w:pStyle w:val="Heading2"/>
        <w:spacing w:line="300" w:lineRule="auto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一、项目背景与意义</w:t>
      </w:r>
      <w:bookmarkEnd w:id="11"/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本章说明问题来源、立项背景，以及项目在管理、用户、方法与推广四个层面的意义。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1.1 问题提出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随着新能源汽车快速普及，高校充电需求持续增长，而校园充电桩资源增长有限，供需矛盾突出。实际运行中存在两类典型现象：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燃油车违规占用充电车位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蓝牌车辆停在充电位上，导致新能源车无法正常补能；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新能源车「充满未移车」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已完成充电却长时间不驶离，车位周转率被进一步压低。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两类问题目前主要依靠人工巡查处理，效率低、发现不及时、处置缺少结构化记录，难以支撑统计、考核与追责。更关键的是，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「充满未移车」这一状态无法靠单一手段识别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：只看图像无法判断车是否在充电，只看充电桩数据无法判断车位被谁占用。这正是现有方案普遍失效的地方。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1.2 项目意义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管理侧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：把校园充电车位管理从「人管」推向「数管」，以自动化闭环提升车位周转率、降低人工巡查成本。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用户侧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：让真正需要补能的车主能找到可用车位，改善校园充电体验。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方法侧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：沉淀「视觉识别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设备状态」融合判断的技术路径，可迁移到其他需要区分「合法占用」与「违规占用」的场景。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推广侧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：方案部署成本低、模块化可裁剪，凡「有桩、有位、有占用矛盾」的园区、写字楼与公共停车场均可复用。</w:t>
      </w:r>
    </w:p>
    <w:p>
      <w:bookmarkStart w:id="12" w:name="_Toc_section_2"/>
      <w:bookmarkStart w:id="1" w:name="section-2"/>
      <w:pPr>
        <w:pStyle w:val="Heading2"/>
        <w:spacing w:line="300" w:lineRule="auto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二、项目目标</w:t>
      </w:r>
      <w:bookmarkEnd w:id="12"/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项目目标由总体目标、阶段目标、技术指标与交付物清单四部分构成，其中技术指标为立项书约定的验收硬门槛。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2.1 总体目标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建成一套面向高校校园的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充电车位智能监管系统原型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，完整跑通「识别</w:t>
      </w:r>
      <w:r>
        <w:rPr>
          <w:sz w:val="20"/>
        </w:rPr>
        <w:t>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判断</w:t>
      </w:r>
      <w:r>
        <w:rPr>
          <w:sz w:val="20"/>
        </w:rPr>
        <w:t>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提醒」业务闭环：摄像头采集图像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车辆检测与车牌识别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融合充电桩状态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规则引擎判定违规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短信提醒车主并落库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后台可视化管理。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2.2 阶段目标（对齐立项书四阶段）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S1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需求与方案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1–2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文献与现状调研；环境搭建；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YOLO / OCR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技术验证；需求分析与总体方案设计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S2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识别与数据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3–5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完成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M1–M4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：图像采集、车辆检测、车牌识别（含车型判定）、充电状态模拟；测试集标注与模型微调；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规则引擎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S3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提醒与平台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6–7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完成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M6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短信（沙箱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真实）、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后台平台；系统联调；准确率与性能优化（响应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≤ 5s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、稳定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≥ 24h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S4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验收与结题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系统验收；实验数据整理；技术报告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用户手册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结题报告；软著申请；竞赛与答辩材料</w:t>
            </w:r>
          </w:p>
        </w:tc>
      </w:tr>
    </w:tbl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2.3 技术指标（立项书约定，作为验收硬门槛）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序号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目标值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20" w:after="20"/>
            </w:pPr>
            <w:r>
              <w:rPr>
                <w:color w:val="212121"/>
                <w:sz w:val="16"/>
              </w:rPr>
              <w:t>车辆检测准确率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20" w:after="20"/>
            </w:pPr>
            <w:r>
              <w:rPr>
                <w:color w:val="212121"/>
                <w:sz w:val="16"/>
              </w:rPr>
              <w:t>≥ 95%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20" w:after="20"/>
            </w:pPr>
            <w:r>
              <w:rPr>
                <w:color w:val="212121"/>
                <w:sz w:val="16"/>
              </w:rPr>
              <w:t>车牌识别准确率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20" w:after="20"/>
            </w:pPr>
            <w:r>
              <w:rPr>
                <w:color w:val="212121"/>
                <w:sz w:val="16"/>
              </w:rPr>
              <w:t>≥ 95%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20" w:after="20"/>
            </w:pPr>
            <w:r>
              <w:rPr>
                <w:color w:val="212121"/>
                <w:sz w:val="16"/>
              </w:rPr>
              <w:t>燃油车占位识别准确率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20" w:after="20"/>
            </w:pPr>
            <w:r>
              <w:rPr>
                <w:color w:val="212121"/>
                <w:sz w:val="16"/>
              </w:rPr>
              <w:t>≥ 95%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20" w:after="20"/>
            </w:pPr>
            <w:r>
              <w:rPr>
                <w:color w:val="212121"/>
                <w:sz w:val="16"/>
              </w:rPr>
              <w:t>充满未移车识别准确率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20" w:after="20"/>
            </w:pPr>
            <w:r>
              <w:rPr>
                <w:color w:val="212121"/>
                <w:sz w:val="16"/>
              </w:rPr>
              <w:t>≥ 90%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20" w:after="20"/>
            </w:pPr>
            <w:r>
              <w:rPr>
                <w:color w:val="212121"/>
                <w:sz w:val="16"/>
              </w:rPr>
              <w:t>报警响应时间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≤ 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20" w:after="20"/>
            </w:pPr>
            <w:r>
              <w:rPr>
                <w:color w:val="212121"/>
                <w:sz w:val="16"/>
              </w:rPr>
              <w:t>系统连续稳定运行时间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≥ 24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小时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20" w:after="20"/>
            </w:pPr>
            <w:r>
              <w:rPr>
                <w:color w:val="212121"/>
                <w:sz w:val="16"/>
              </w:rPr>
              <w:t>业务闭环完整性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center"/>
              <w:spacing w:line="240" w:lineRule="auto" w:before="20" w:after="20"/>
            </w:pPr>
            <w:r>
              <w:rPr>
                <w:color w:val="212121"/>
                <w:sz w:val="16"/>
              </w:rPr>
              <w:t>「车辆识别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状态判断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自动提醒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后台管理」全链路贯通</w:t>
            </w:r>
          </w:p>
        </w:tc>
      </w:tr>
    </w:tbl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2.4 交付物清单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类别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交付物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系统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可演示的系统原型（后端服务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六页管理后台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算法模块）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代码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核心模块代码与接口契约文档（ </w:t>
            </w:r>
            <w:r>
              <w:rPr>
                <w:rFonts w:ascii="Consolas" w:hAnsi="Consolas"/>
                <w:color w:val="212121"/>
                <w:sz w:val="16"/>
              </w:rPr>
              <w:t>CONTRACT.md</w:t>
            </w:r>
            <w:r>
              <w:rPr>
                <w:color w:val="212121"/>
                <w:sz w:val="16"/>
              </w:rPr>
              <w:t xml:space="preserve"> ）、数据库建表脚本（ </w:t>
            </w:r>
            <w:r>
              <w:rPr>
                <w:rFonts w:ascii="Consolas" w:hAnsi="Consolas"/>
                <w:color w:val="212121"/>
                <w:sz w:val="16"/>
              </w:rPr>
              <w:t>schema.sql</w:t>
            </w:r>
            <w:r>
              <w:rPr>
                <w:color w:val="212121"/>
                <w:sz w:val="16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文档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项目技术报告、用户使用说明书、结题报告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知识产权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计算机软件著作权（条件允许申请实用新型专利）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材料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创新创业竞赛参赛材料及项目商业计划书</w:t>
            </w:r>
          </w:p>
        </w:tc>
      </w:tr>
    </w:tbl>
    <w:p>
      <w:bookmarkStart w:id="13" w:name="_Toc_section_3"/>
      <w:bookmarkStart w:id="2" w:name="section-3"/>
      <w:pPr>
        <w:pStyle w:val="Heading2"/>
        <w:spacing w:line="300" w:lineRule="auto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三、项目范围与边界</w:t>
      </w:r>
      <w:bookmarkEnd w:id="13"/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范围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：校园场景的演示系统原型，完整跑通业务闭环，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不做生产环境部署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。以下四项为</w:t>
      </w:r>
      <w:r>
        <w:rPr>
          <w:sz w:val="20"/>
        </w:rPr>
        <w:t xml:space="preserve"> MVP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边界，明确不做，以避免范围蔓延。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处理方式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原因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充电桩实时状态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采用 </w:t>
            </w:r>
            <w:r>
              <w:rPr>
                <w:b/>
                <w:color w:val="212121"/>
                <w:sz w:val="16"/>
              </w:rPr>
              <w:t>模拟数据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，预留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OCPP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适配层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运营商接口权限受限，无法获取真实状态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实时视频流预览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仅展示 </w:t>
            </w:r>
            <w:r>
              <w:rPr>
                <w:b/>
                <w:color w:val="212121"/>
                <w:sz w:val="16"/>
              </w:rPr>
              <w:t>最近一帧截图</w:t>
            </w:r>
            <w:r>
              <w:rPr>
                <w:color w:val="212121"/>
                <w:sz w:val="16"/>
              </w:rPr>
              <w:t xml:space="preserve"> （轮询刷新）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降低前端与带宽复杂度，演示足够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车型判定方式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由 </w:t>
            </w:r>
            <w:r>
              <w:rPr>
                <w:b/>
                <w:color w:val="212121"/>
                <w:sz w:val="16"/>
              </w:rPr>
              <w:t>车牌底色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判定（绿牌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=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新能源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蓝牌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=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燃油）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车辆外观分类准确率不可控，车牌类型是可靠代理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部署形态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推理进程与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服务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b/>
                <w:color w:val="212121"/>
                <w:sz w:val="16"/>
              </w:rPr>
              <w:t>拆分为独立进程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仅读库并供前端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避免推理阻塞页面响应</w:t>
            </w:r>
          </w:p>
        </w:tc>
      </w:tr>
    </w:tbl>
    <w:p>
      <w:pPr>
        <w:spacing w:before="264" w:after="264"/>
        <w:jc w:val="both"/>
        <w:pBdr>
          <w:left w:val="single" w:sz="24" w:space="0" w:color="1565C0"/>
        </w:pBdr>
        <w:shd w:val="clear" w:color="auto" w:fill="EAF1FB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边界一经确定即写进契约；任何调整须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先改契约 → 全员通告 → 升版本号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，再动代码。</w:t>
      </w:r>
    </w:p>
    <w:p>
      <w:bookmarkStart w:id="14" w:name="_Toc_section_4"/>
      <w:bookmarkStart w:id="3" w:name="section-4"/>
      <w:pPr>
        <w:pStyle w:val="Heading2"/>
        <w:spacing w:line="300" w:lineRule="auto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四、技术方案</w:t>
      </w:r>
      <w:bookmarkEnd w:id="14"/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技术方案包含总体架构、核心业务闭环、技术选型、数据模型、功能模块与关键实施策略六个部分。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4.1 总体架构（五层）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职责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关键实现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图像采集层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摄像头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测试视频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定时抽帧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OpenCV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抽帧，输出标准化帧（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RGB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，固定分辨率）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智能识别层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车辆检测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车牌识别（号码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颜色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类型）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Ultralytics YOLOv8 + HyperLPR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（主）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PaddleOCR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（备选）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数据融合层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按车牌号关联车辆与充电桩状态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MySQL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状态库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充电状态模拟器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业务处理层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违规判断规则引擎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Python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规则函数，阈值可配置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应用展示层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后台管理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Web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报警提示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短信提醒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Vue3 + FastAPI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短信网关</w:t>
            </w:r>
          </w:p>
        </w:tc>
      </w:tr>
    </w:tbl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4.2 核心业务闭环</w:t>
      </w:r>
    </w:p>
    <w:p>
      <w:pPr>
        <w:spacing w:line="300" w:lineRule="auto"/>
        <w:jc w:val="both"/>
        <w:shd w:val="clear" w:color="auto" w:fill="F5F7FA"/>
      </w:pPr>
      <w:r>
        <w:rPr>
          <w:rFonts w:ascii="微软雅黑" w:eastAsia="微软雅黑" w:hAnsi="微软雅黑" w:cs="微软雅黑" w:hint="eastAsia"/>
          <w:sz w:val="20"/>
          <w:lang w:eastAsia="zh-CN"/>
        </w:rPr>
        <w:t>抽帧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车辆检测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车牌识别（号码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类型）</w:t>
        <w:br/>
      </w:r>
      <w:r>
        <w:rPr>
          <w:sz w:val="20"/>
        </w:rPr>
        <w:t xml:space="preserve">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查库关联（车辆</w:t>
      </w:r>
      <w:r>
        <w:rPr>
          <w:sz w:val="20"/>
        </w:rPr>
        <w:t xml:space="preserve"> /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充电桩绑定）</w:t>
      </w:r>
      <w:r>
        <w:rPr>
          <w:sz w:val="20"/>
        </w:rPr>
        <w:t xml:space="preserve">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获取充电状态（模拟）</w:t>
        <w:br/>
      </w:r>
      <w:r>
        <w:rPr>
          <w:sz w:val="20"/>
        </w:rPr>
        <w:t xml:space="preserve">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违规判断（规则引擎）</w:t>
      </w:r>
      <w:r>
        <w:rPr>
          <w:sz w:val="20"/>
        </w:rPr>
        <w:t xml:space="preserve">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命中则短信提醒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落库</w:t>
        <w:br/>
      </w:r>
      <w:r>
        <w:rPr>
          <w:sz w:val="20"/>
        </w:rPr>
        <w:t xml:space="preserve">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后台可视化展示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规则引擎按下列四条规则判定，命中前三条即视为违规并触发提醒，第四条不提醒：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燃油车（蓝牌）占用充电位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违规占位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新能源车未充电且久停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异常占位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新能源车充满超时未驶离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充满未移车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正常充电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不提醒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4.3 技术选型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选型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后端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FastAPI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Python 3.11.x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异步框架，接口契约可自动出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OpenAPI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前端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Vue 3 + Vite + TypeScript + Element Plus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极简后台，组件成熟、交付快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数据库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MySQL 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（开发期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SQLite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等价验证）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数据访问走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SQLAlchemy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，换库只改连接串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目标检测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Ultralytics YOLOv8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n / 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预训练起步，配合校园场景微调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车牌识别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HyperLPR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（主）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PaddleOCR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（备选）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识别号码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底色判型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提醒通道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阿里云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腾讯云短信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SDK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沙箱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真实双模式，答辩可回落沙箱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可视化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ECharts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统计图表配色统一从设计令牌读取</w:t>
            </w:r>
          </w:p>
        </w:tc>
      </w:tr>
    </w:tbl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4.4 数据模型（核心四表）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关键字段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用途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rFonts w:ascii="Consolas" w:hAnsi="Consolas"/>
                <w:color w:val="212121"/>
                <w:sz w:val="16"/>
              </w:rPr>
              <w:t>vehicle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plate(PK) / vtype / owner / phone / created_at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车辆与车主信息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rFonts w:ascii="Consolas" w:hAnsi="Consolas"/>
                <w:color w:val="212121"/>
                <w:sz w:val="16"/>
              </w:rPr>
              <w:t>charging_pile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pile_id(PK) / status / bound_plate / start_time / end_time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充电桩状态（模拟）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rFonts w:ascii="Consolas" w:hAnsi="Consolas"/>
                <w:color w:val="212121"/>
                <w:sz w:val="16"/>
              </w:rPr>
              <w:t>occupation_record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id(PK) / plate / vtype / pile_id / rule_hit / occur_time / notify_status / notify_time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违规记录，支撑查询与统计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rFonts w:ascii="Consolas" w:hAnsi="Consolas"/>
                <w:color w:val="212121"/>
                <w:sz w:val="16"/>
              </w:rPr>
              <w:t>system_config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key(PK) / value / note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阈值参数（ </w:t>
            </w:r>
            <w:r>
              <w:rPr>
                <w:rFonts w:ascii="Consolas" w:hAnsi="Consolas"/>
                <w:color w:val="212121"/>
                <w:sz w:val="16"/>
              </w:rPr>
              <w:t>full_timeout_min</w:t>
            </w:r>
            <w:r>
              <w:rPr>
                <w:color w:val="212121"/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abnormal_park_min</w:t>
            </w:r>
            <w:r>
              <w:rPr>
                <w:color w:val="212121"/>
                <w:sz w:val="16"/>
              </w:rPr>
              <w:t xml:space="preserve"> ）</w:t>
            </w:r>
          </w:p>
        </w:tc>
      </w:tr>
    </w:tbl>
    <w:p>
      <w:pPr>
        <w:spacing w:before="264" w:after="264"/>
        <w:jc w:val="both"/>
        <w:pBdr>
          <w:left w:val="single" w:sz="24" w:space="0" w:color="1565C0"/>
        </w:pBdr>
        <w:shd w:val="clear" w:color="auto" w:fill="EAF1FB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阈值一律从</w:t>
      </w:r>
      <w:r>
        <w:rPr>
          <w:sz w:val="20"/>
        </w:rPr>
        <w:t xml:space="preserve"> </w:t>
      </w:r>
      <w:r>
        <w:rPr>
          <w:rFonts w:ascii="Consolas" w:hAnsi="Consolas"/>
          <w:color w:val="1565C0"/>
          <w:sz w:val="16"/>
        </w:rPr>
        <w:t>system_config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读取，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严禁硬编码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4.5 功能模块与负责人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模块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负责人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M1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图像采集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读视频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图片，定时抽帧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汤瑾睿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M2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车辆检测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YOLOv8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检测车辆，输出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bbox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置信度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汤瑾睿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M3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车牌识别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定位车牌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识别号码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判定类型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汤瑾睿（算法）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吕浩（封装）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M4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充电状态模拟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车牌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桩状态种子数据、定时更新、预留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OCPP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汤瑾睿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M5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违规判断规则引擎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四规则判定，阈值可配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汤瑾睿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吕浩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M6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短信提醒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查车主手机号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发送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记录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吕浩（接口）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汤瑾睿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M7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后台管理平台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车辆信息管理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违规记录查询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充电状态展示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报警统计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系统参数配置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实时识别预览（六页）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吕浩（前端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接口）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吴和庆（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UI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</w:tbl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4.6 关键实施策略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本项目最大的不确定性来自计算机视觉模型（环境依赖复杂、数据采集慢、准确率不保证）。为此采用两条工程策略：</w:t>
      </w:r>
    </w:p>
    <w:p>
      <w:pPr>
        <w:pStyle w:val="ListNumber"/>
        <w:numPr>
          <w:ilvl w:val="0"/>
          <w:numId w:val="11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契约先行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数据模型、接口签名、返回结构先写死进</w:t>
      </w:r>
      <w:r>
        <w:rPr>
          <w:sz w:val="20"/>
        </w:rPr>
        <w:t xml:space="preserve"> </w:t>
      </w:r>
      <w:r>
        <w:rPr>
          <w:rFonts w:ascii="Consolas" w:hAnsi="Consolas"/>
          <w:color w:val="1565C0"/>
          <w:sz w:val="16"/>
        </w:rPr>
        <w:t>docs/CONTRACT.md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（唯一事实源），三人并行开发不互相猜测，也不口头约定。</w:t>
      </w:r>
    </w:p>
    <w:p>
      <w:pPr>
        <w:pStyle w:val="ListNumber"/>
        <w:numPr>
          <w:ilvl w:val="0"/>
          <w:numId w:val="11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桩替身解耦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最慢最险的环节先用替身顶上：识别用「识别桩</w:t>
      </w:r>
      <w:r>
        <w:rPr>
          <w:sz w:val="20"/>
        </w:rPr>
        <w:t xml:space="preserve"> stub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」（读标注</w:t>
      </w:r>
      <w:r>
        <w:rPr>
          <w:sz w:val="20"/>
        </w:rPr>
        <w:t xml:space="preserve"> JSON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）、短信用「沙箱」（写库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日志）。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先用替身证明闭环能跑通，再逐段替换为真实模型与真实短信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。真实实现与替身返回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同一数据结构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，替换时上层零改动。</w:t>
      </w:r>
    </w:p>
    <w:p>
      <w:bookmarkStart w:id="15" w:name="_Toc_section_5"/>
      <w:bookmarkStart w:id="4" w:name="section-5"/>
      <w:pPr>
        <w:pStyle w:val="Heading2"/>
        <w:spacing w:line="300" w:lineRule="auto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五、组织与分工</w:t>
      </w:r>
      <w:bookmarkEnd w:id="15"/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本章说明团队构成、职责边界与日常协作机制。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5.1 团队构成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成员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学院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专业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项目分工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投入精力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吕浩（负责人）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信息与通信工程学院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通空间信息与数字技术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进度统筹、任务分配、系统集成；前端功能开发；短信与规则引擎后端接口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一年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汤瑾睿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信息与通信工程学院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通空间信息与数字技术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数据库搭建与维护、数据逻辑设计；车辆检测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车牌识别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充电状态模拟算法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一年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吴和庆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信息与通信工程学院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通信工程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后台界面视觉设计、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UI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素材与图标、线框与设计系统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一年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景文鹏（指导教师）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信息与通信工程学院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副教授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技术路线指导、阶段性评审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—</w:t>
            </w:r>
          </w:p>
        </w:tc>
      </w:tr>
    </w:tbl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5.2 职责矩阵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工作项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吕浩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汤瑾睿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吴和庆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接口契约（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CONTRACT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主责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确认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确认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数据库与算法（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M1–M5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接口封装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主责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短信与规则接口（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M5 / M6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主责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配合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前端实现（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M7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主责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设计支持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设计系统与线框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遵循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主责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集成合入与测试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主责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各自模块自测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设计走查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文档与结题材料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统筹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技术章节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视觉素材</w:t>
            </w:r>
          </w:p>
        </w:tc>
      </w:tr>
    </w:tbl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5.3 协作机制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分支策略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1565C0"/>
          <w:sz w:val="16"/>
        </w:rPr>
        <w:t>main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为保护分支；功能开 </w:t>
      </w:r>
      <w:r>
        <w:rPr>
          <w:rFonts w:ascii="Consolas" w:hAnsi="Consolas"/>
          <w:color w:val="1565C0"/>
          <w:sz w:val="16"/>
        </w:rPr>
        <w:t>feature/&lt;name&gt;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，由吕浩统一合入，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一两天一合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，避免各自合并弄乱主干。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提交规范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：每完成一步即提交，</w:t>
      </w:r>
      <w:r>
        <w:rPr>
          <w:sz w:val="20"/>
        </w:rPr>
        <w:t xml:space="preserve">commit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信息用「模块</w:t>
      </w:r>
      <w:r>
        <w:rPr>
          <w:sz w:val="20"/>
        </w:rPr>
        <w:t xml:space="preserve">: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简述」（如</w:t>
      </w:r>
      <w:r>
        <w:rPr>
          <w:sz w:val="20"/>
        </w:rPr>
        <w:t xml:space="preserve"> </w:t>
      </w:r>
      <w:r>
        <w:rPr>
          <w:rFonts w:ascii="微软雅黑" w:hAnsi="微软雅黑" w:eastAsia="微软雅黑" w:cs="微软雅黑" w:hint="eastAsia"/>
          <w:color w:val="1565C0"/>
          <w:sz w:val="16"/>
          <w:lang w:eastAsia="zh-CN"/>
        </w:rPr>
        <w:t>db: 新增四表 schema 与种子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改契约流程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：先改 </w:t>
      </w:r>
      <w:r>
        <w:rPr>
          <w:rFonts w:ascii="Consolas" w:hAnsi="Consolas"/>
          <w:color w:val="1565C0"/>
          <w:sz w:val="16"/>
        </w:rPr>
        <w:t>CONTRACT.md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全员通告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升版本号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再动代码，禁止私自改动己方接口。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周会节奏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：每周五三人各</w:t>
      </w:r>
      <w:r>
        <w:rPr>
          <w:sz w:val="20"/>
        </w:rPr>
        <w:t xml:space="preserve"> 5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分钟同步「已完成</w:t>
      </w:r>
      <w:r>
        <w:rPr>
          <w:sz w:val="20"/>
        </w:rPr>
        <w:t xml:space="preserve"> /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卡点</w:t>
      </w:r>
      <w:r>
        <w:rPr>
          <w:sz w:val="20"/>
        </w:rPr>
        <w:t xml:space="preserve"> /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下周提供什么」，由吕浩完成合入。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版本管理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：私有</w:t>
      </w:r>
      <w:r>
        <w:rPr>
          <w:sz w:val="20"/>
        </w:rPr>
        <w:t xml:space="preserve"> Git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仓库托管（</w:t>
      </w:r>
      <w:r>
        <w:rPr>
          <w:rFonts w:ascii="Consolas" w:hAnsi="Consolas"/>
          <w:color w:val="1565C0"/>
          <w:sz w:val="16"/>
        </w:rPr>
        <w:t>bupt-charging-guard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），历史可追溯、可回滚。</w:t>
      </w:r>
    </w:p>
    <w:p>
      <w:bookmarkStart w:id="16" w:name="_Toc_section_6"/>
      <w:bookmarkStart w:id="5" w:name="section-6"/>
      <w:pPr>
        <w:pStyle w:val="Heading2"/>
        <w:spacing w:line="300" w:lineRule="auto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六、进度计划</w:t>
      </w:r>
      <w:bookmarkEnd w:id="16"/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进度计划分为八个月总计划、当前进度与冲刺安排、里程碑对照三部分。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6.1 八个月总计划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时间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里程碑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主要产出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S1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需求与方案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1–2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方案定稿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文献调研报告、环境搭建、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YOLO / OCR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技术验证、需求文档与总体设计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S2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识别与数据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3–5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M1–M5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完成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采集、检测、车牌识别、充电模拟、规则引擎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S3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提醒与平台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6–7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M6–M7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完成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短信（沙箱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真实）、六页后台、系统联调与优化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S4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验收与结题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项目验收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验收测试、实验数据、技术报告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用户手册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结题报告、软著、竞赛材料</w:t>
            </w:r>
          </w:p>
        </w:tc>
      </w:tr>
    </w:tbl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6.2 当前进度与冲刺安排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已完成（第 0 天，2026-09-08）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：仓库骨架、接口契约</w:t>
      </w:r>
      <w:r>
        <w:rPr>
          <w:sz w:val="20"/>
        </w:rPr>
        <w:t xml:space="preserve"> v1.0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定稿（三人确认）、数据库</w:t>
      </w:r>
      <w:r>
        <w:rPr>
          <w:sz w:val="20"/>
        </w:rPr>
        <w:t xml:space="preserve"> schema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与种子、</w:t>
      </w:r>
      <w:r>
        <w:rPr>
          <w:sz w:val="20"/>
        </w:rPr>
        <w:t xml:space="preserve">FastAPI </w:t>
      </w:r>
      <w:r>
        <w:rPr>
          <w:rFonts w:ascii="微软雅黑" w:eastAsia="微软雅黑" w:hAnsi="微软雅黑" w:cs="微软雅黑" w:hint="eastAsia"/>
          <w:sz w:val="20"/>
          <w:lang w:eastAsia="zh-CN"/>
        </w:rPr>
        <w:t>骨架与冒烟测试、设计系统与首屏线框。经逐项审计，第</w:t>
      </w:r>
      <w:r>
        <w:rPr>
          <w:sz w:val="20"/>
        </w:rPr>
        <w:t xml:space="preserve"> 0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天共同任务与三人分工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全部完成并通过验证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已完成（第 1 周内）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：契约</w:t>
      </w:r>
      <w:r>
        <w:rPr>
          <w:sz w:val="20"/>
        </w:rPr>
        <w:t xml:space="preserve"> §6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全部</w:t>
      </w:r>
      <w:r>
        <w:rPr>
          <w:sz w:val="20"/>
        </w:rPr>
        <w:t xml:space="preserve"> 5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个端点实现</w:t>
      </w:r>
      <w:r>
        <w:rPr>
          <w:sz w:val="20"/>
        </w:rPr>
        <w:t>——</w:t>
      </w:r>
      <w:r>
        <w:rPr>
          <w:rFonts w:ascii="Consolas" w:hAnsi="Consolas"/>
          <w:color w:val="1565C0"/>
          <w:sz w:val="16"/>
        </w:rPr>
        <w:t>/api/recognize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>stub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）、</w:t>
      </w:r>
      <w:r>
        <w:rPr>
          <w:rFonts w:ascii="Consolas" w:hAnsi="Consolas"/>
          <w:color w:val="1565C0"/>
          <w:sz w:val="16"/>
        </w:rPr>
        <w:t>/api/judge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（四规则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命中落库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去重）、</w:t>
      </w:r>
      <w:r>
        <w:rPr>
          <w:rFonts w:ascii="Consolas" w:hAnsi="Consolas"/>
          <w:color w:val="1565C0"/>
          <w:sz w:val="16"/>
        </w:rPr>
        <w:t>/api/notify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（沙箱写库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日志）、</w:t>
      </w:r>
      <w:r>
        <w:rPr>
          <w:rFonts w:ascii="Consolas" w:hAnsi="Consolas"/>
          <w:color w:val="1565C0"/>
          <w:sz w:val="16"/>
        </w:rPr>
        <w:t>/api/records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（分页倒序）、</w:t>
      </w:r>
      <w:r>
        <w:rPr>
          <w:rFonts w:ascii="Consolas" w:hAnsi="Consolas"/>
          <w:color w:val="1565C0"/>
          <w:sz w:val="16"/>
        </w:rPr>
        <w:t>/api/health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，端到端闭环打通；测试</w:t>
      </w:r>
      <w:r>
        <w:rPr>
          <w:sz w:val="20"/>
        </w:rPr>
        <w:t xml:space="preserve"> 57 </w:t>
      </w:r>
      <w:r>
        <w:rPr>
          <w:rFonts w:ascii="微软雅黑" w:eastAsia="微软雅黑" w:hAnsi="微软雅黑" w:cs="微软雅黑" w:hint="eastAsia"/>
          <w:sz w:val="20"/>
          <w:lang w:eastAsia="zh-CN"/>
        </w:rPr>
        <w:t>项全过。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当前进行中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：前端尚未开工（</w:t>
      </w:r>
      <w:r>
        <w:rPr>
          <w:rFonts w:ascii="Consolas" w:hAnsi="Consolas"/>
          <w:color w:val="1565C0"/>
          <w:sz w:val="16"/>
        </w:rPr>
        <w:t>frontend/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目录未建），是当前唯一未启动的主线。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主题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核心产出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里程碑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端到端闭环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前端骨架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最小闭环完全跑通；后台骨架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/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页可用；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CV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环境与数据集就绪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契约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§11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验收清单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8/8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CV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真模型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数据落真库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YOLOv8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车辆检测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车牌识别接入（替换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stub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MySQL 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真机切换；六页全部上线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M1–M3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完成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真实短信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充电模拟器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联调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短信沙箱升级并预留真实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开关；充电状态模拟器与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OCPP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适配层；全链路联调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M4–M6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完成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性能与稳定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结题材料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准确率调优、响应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≤ 5s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、稳定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≥ 24h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；技术报告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用户手册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结题报告；答辩材料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M7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完成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S4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验收</w:t>
            </w:r>
          </w:p>
        </w:tc>
      </w:tr>
    </w:tbl>
    <w:p>
      <w:pPr>
        <w:spacing w:before="264" w:after="264"/>
        <w:jc w:val="both"/>
        <w:pBdr>
          <w:left w:val="single" w:sz="24" w:space="0" w:color="1565C0"/>
        </w:pBdr>
        <w:shd w:val="clear" w:color="auto" w:fill="EAF1FB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关键路径 = CV 模型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，是全项目唯一真正的风险点。其余模块均已用替身解耦，不阻塞主线。详细任务分解与逐人验收标准见 </w:t>
      </w:r>
      <w:r>
        <w:rPr>
          <w:rFonts w:ascii="Consolas" w:hAnsi="Consolas"/>
          <w:color w:val="1565C0"/>
          <w:sz w:val="16"/>
        </w:rPr>
        <w:t>docs/PLAN_4WEEKS.md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6.3 里程碑对照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里程碑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计划落点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M1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视频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图像采集模块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M2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车辆检测模块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M3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车牌识别模块（含车型判定）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M4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充电状态模拟模块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M5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违规判断规则引擎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第 0 天已实现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周终版评审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M6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短信提醒模块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第 1 周沙箱已完成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周真实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API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M7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后台管理平台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周优化</w:t>
            </w:r>
          </w:p>
        </w:tc>
      </w:tr>
    </w:tbl>
    <w:p>
      <w:pPr>
        <w:jc w:val="both"/>
      </w:pPr>
      <w:r>
        <w:rPr>
          <w:sz w:val="20"/>
        </w:rPr>
        <w:t xml:space="preserve">M5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规则引擎与</w:t>
      </w:r>
      <w:r>
        <w:rPr>
          <w:sz w:val="20"/>
        </w:rPr>
        <w:t xml:space="preserve"> M6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沙箱版提前于原大纲完成，目的是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尽早锁定业务闭环正确性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，把风险集中到</w:t>
      </w:r>
      <w:r>
        <w:rPr>
          <w:sz w:val="20"/>
        </w:rPr>
        <w:t xml:space="preserve"> CV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模型上。</w:t>
      </w:r>
    </w:p>
    <w:p>
      <w:bookmarkStart w:id="17" w:name="_Toc_section_7"/>
      <w:bookmarkStart w:id="6" w:name="section-7"/>
      <w:pPr>
        <w:pStyle w:val="Heading2"/>
        <w:spacing w:line="300" w:lineRule="auto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七、资源与预算</w:t>
      </w:r>
      <w:bookmarkEnd w:id="17"/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本章列出项目所需资源与经费估算，预算为估算值，以实际采购价为准。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7.1 资源需求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硬件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开发用个人计算机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、摄像头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手机（素材采集）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自备，无采购成本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软件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Python 3.11.x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Node.js 22 LTS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MySQL 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Git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全部开源免费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框架与库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FastAPI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Vue3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Ultralytics YOLOv8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HyperLPR / PaddleOCR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OpenCV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ECharts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全部开源免费（注意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YOLOv8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AGPL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许可约定）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云资源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云服务器（部署演示）、短信服务、域名（可选）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7.2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预算表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数据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校园充电车位图像数据集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团队自采自标，不计费用</w:t>
            </w:r>
          </w:p>
        </w:tc>
      </w:tr>
    </w:tbl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7.2 经费预算（估算）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科目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用途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估算金额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依据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云服务器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后端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前端部署与演示环境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200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阿里云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ECS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经济型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实例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核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2G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99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元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年，按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年计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短信服务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真实短信提醒（第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周起）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250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阿里云国内通用短信套餐包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5000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250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元（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0.05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元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域名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演示访问地址（可选）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60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.cn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域名首年约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元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年，按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年计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图像采集设备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USB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摄像头或支架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200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亦可使用手机自备，费用可省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打印与装订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技术报告、结题材料、答辩册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150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份报告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答辩材料打印装订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软件著作权登记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材料代办（自行申请可免官费）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0–300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自行准备材料可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成本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合计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860–1,160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以实际采购价为准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说明：</w:t>
      </w:r>
    </w:p>
    <w:p>
      <w:pPr>
        <w:pStyle w:val="ListNumber"/>
        <w:numPr>
          <w:ilvl w:val="0"/>
          <w:numId w:val="12"/>
        </w:numPr>
        <w:spacing w:after="60"/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以上为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估算值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，非立项书正式预算科目（创新训练类立项书未设经费章节），可按学校报销口径归并调整。</w:t>
      </w:r>
    </w:p>
    <w:p>
      <w:pPr>
        <w:pStyle w:val="ListNumber"/>
        <w:numPr>
          <w:ilvl w:val="0"/>
          <w:numId w:val="12"/>
        </w:numPr>
        <w:spacing w:after="60"/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阿里云对学生用户提供无门槛优惠券，可进一步抵扣云服务器与短信费用。</w:t>
      </w:r>
    </w:p>
    <w:p>
      <w:pPr>
        <w:pStyle w:val="ListNumber"/>
        <w:numPr>
          <w:ilvl w:val="0"/>
          <w:numId w:val="12"/>
        </w:numPr>
        <w:spacing w:after="60"/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硬件（</w:t>
      </w:r>
      <w:r>
        <w:rPr>
          <w:sz w:val="20"/>
        </w:rPr>
        <w:t>PC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、手机）均为自备，未计入；若需采购专用摄像头与三脚架，加约</w:t>
      </w:r>
      <w:r>
        <w:rPr>
          <w:sz w:val="20"/>
        </w:rPr>
        <w:t xml:space="preserve"> 200–500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元。</w:t>
      </w:r>
    </w:p>
    <w:p>
      <w:bookmarkStart w:id="18" w:name="_Toc_section_8"/>
      <w:bookmarkStart w:id="7" w:name="section-8"/>
      <w:pPr>
        <w:pStyle w:val="Heading2"/>
        <w:spacing w:line="300" w:lineRule="auto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八、质量管理</w:t>
      </w:r>
      <w:bookmarkEnd w:id="18"/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质量管理覆盖测试与验收手段、代码与交付规范两个层面。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8.1 测试与验收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层级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手段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通过标准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单元测试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后端 </w:t>
            </w:r>
            <w:r>
              <w:rPr>
                <w:rFonts w:ascii="Consolas" w:hAnsi="Consolas"/>
                <w:color w:val="212121"/>
                <w:sz w:val="16"/>
              </w:rPr>
              <w:t>pytest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（规则引擎四规则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边界用例）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全过；第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周目标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项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≥ 70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接口测试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FastAPI </w:t>
            </w:r>
            <w:r>
              <w:rPr>
                <w:rFonts w:ascii="Consolas" w:hAnsi="Consolas"/>
                <w:color w:val="212121"/>
                <w:sz w:val="16"/>
              </w:rPr>
              <w:t>TestClient</w:t>
            </w:r>
            <w:r>
              <w:rPr>
                <w:color w:val="212121"/>
                <w:sz w:val="16"/>
              </w:rPr>
              <w:t xml:space="preserve"> 调用各端点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全部端点正常返回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错误码正确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集成测试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端到端脚本：识别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判定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提醒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后台可见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全流程贯通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设计走查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令牌校验脚本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跨页一致性检查单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脚本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exit 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，无裸色值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性能测试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准确率评测集、响应时间、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24h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稳定性压测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满足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技术指标</w:t>
            </w:r>
          </w:p>
        </w:tc>
      </w:tr>
    </w:tbl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8.2 代码与交付规范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交付前三件套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1565C0"/>
          <w:sz w:val="16"/>
        </w:rPr>
        <w:t>pytest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全过</w:t>
      </w:r>
      <w:r>
        <w:rPr>
          <w:sz w:val="20"/>
        </w:rPr>
        <w:t xml:space="preserve"> + </w:t>
      </w:r>
      <w:r>
        <w:rPr>
          <w:rFonts w:ascii="Consolas" w:hAnsi="Consolas"/>
          <w:color w:val="1565C0"/>
          <w:sz w:val="16"/>
        </w:rPr>
        <w:t>ruff</w:t>
      </w:r>
      <w:r>
        <w:rPr>
          <w:sz w:val="20"/>
        </w:rPr>
        <w:t xml:space="preserve"> / </w:t>
      </w:r>
      <w:r>
        <w:rPr>
          <w:rFonts w:ascii="Consolas" w:hAnsi="Consolas"/>
          <w:color w:val="1565C0"/>
          <w:sz w:val="16"/>
        </w:rPr>
        <w:t>black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全过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设计令牌脚本</w:t>
      </w:r>
      <w:r>
        <w:rPr>
          <w:sz w:val="20"/>
        </w:rPr>
        <w:t xml:space="preserve"> exit 0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全绿才允许合入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前端约束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：页面不出现裸色值，一律使用设计令牌变量；表格列严格照契约字段，不自造字段与枚举。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后端约束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：阈值一律从 </w:t>
      </w:r>
      <w:r>
        <w:rPr>
          <w:rFonts w:ascii="Consolas" w:hAnsi="Consolas"/>
          <w:color w:val="1565C0"/>
          <w:sz w:val="16"/>
        </w:rPr>
        <w:t>system_config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读取，禁止硬编码。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改动纪律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：每次改动必须伴随</w:t>
      </w:r>
      <w:r>
        <w:rPr>
          <w:sz w:val="20"/>
        </w:rPr>
        <w:t xml:space="preserve"> commit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，便于追溯与回滚；每次改动必须编写或更新对应测试。</w:t>
      </w:r>
    </w:p>
    <w:p>
      <w:bookmarkStart w:id="19" w:name="_Toc_section_9"/>
      <w:bookmarkStart w:id="8" w:name="section-9"/>
      <w:pPr>
        <w:pStyle w:val="Heading2"/>
        <w:spacing w:line="300" w:lineRule="auto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九、风险管理</w:t>
      </w:r>
      <w:bookmarkEnd w:id="19"/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本章登记主要风险与应对措施，并给出关键路径与主要决策点。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9.1 风险登记表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序号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风险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概率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影响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应对措施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R1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CV 环境装不上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ultralytics / paddleocr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依赖冲突）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周首日试装；失败立即降级为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YOLOv8n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车牌模板匹配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hyperlpr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；实在不行第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周继续用替身，不阻塞其他模块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R2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校园数据集不足或采集困难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合成帧扩增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校园实拍结合；标注用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LabelImg / CVAT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；按四类各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≥ 30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张组织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R3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准确率不达标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&lt; 95% / 90%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扩充校园场景测试集、模型微调、目标跟踪去重、抽帧降频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R4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实时性不足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（报警响应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&gt; 5s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抽帧降频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模型轻量化（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YOLOv8n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异步处理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推理与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拆进程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R5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真实充电接口无权限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高（已发生）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已定策略：模拟数据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预留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OCPP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适配层，不阻塞闭环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R6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短信密钥申请与计费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开发期沙箱；答辩前接入真实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API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，保留开关可随时回落沙箱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R7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MySQL 8 真机未验证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（开发期用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SQLite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等价验证）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 xml:space="preserve">schema.sql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MySQL 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语法交付；第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周接真库时补验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InnoDB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ENUM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等特有语法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R8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三人分支分叉导致合并事故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开工先同步主干；合并前校验分支是否为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main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后代，非后代则按目录摘取而非整分支合并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R9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前端工期被设计走查拖慢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/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页优先于图标与插画；图标第一周允许使用组件库内置图标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R10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b/>
                <w:color w:val="212121"/>
                <w:sz w:val="16"/>
              </w:rPr>
              <w:t>模型许可合规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Ultralytics YOLOv8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AGPL-3.0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本项目为校园非商业原型；若后续商业化须评估替代方案或获取商业授权</w:t>
            </w:r>
          </w:p>
        </w:tc>
      </w:tr>
    </w:tbl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9.2 关键路径与决策点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关键路径为：数据集采集与标注</w:t>
      </w:r>
      <w:r>
        <w:rPr>
          <w:sz w:val="20"/>
        </w:rPr>
        <w:t xml:space="preserve"> → YOLOv8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训练</w:t>
      </w:r>
      <w:r>
        <w:rPr>
          <w:sz w:val="20"/>
        </w:rPr>
        <w:t xml:space="preserve"> /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推理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车牌识别调优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端到端集成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性能达标。主要决策点如下：</w:t>
      </w:r>
    </w:p>
    <w:p>
      <w:pPr>
        <w:pStyle w:val="ListNumber"/>
        <w:numPr>
          <w:ilvl w:val="0"/>
          <w:numId w:val="13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第 1 周末</w:t>
      </w:r>
      <w:r>
        <w:rPr>
          <w:sz w:val="20"/>
        </w:rPr>
        <w:t xml:space="preserve">——CV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环境是否可用？决定第</w:t>
      </w:r>
      <w:r>
        <w:rPr>
          <w:sz w:val="20"/>
        </w:rPr>
        <w:t xml:space="preserve"> 2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周走真实模型还是延长替身周期。</w:t>
      </w:r>
    </w:p>
    <w:p>
      <w:pPr>
        <w:pStyle w:val="ListNumber"/>
        <w:numPr>
          <w:ilvl w:val="0"/>
          <w:numId w:val="13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第 2 周末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准确率初测结果？决定第</w:t>
      </w:r>
      <w:r>
        <w:rPr>
          <w:sz w:val="20"/>
        </w:rPr>
        <w:t xml:space="preserve"> 4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周调优投入与目标是否需重新协商。</w:t>
      </w:r>
    </w:p>
    <w:p>
      <w:pPr>
        <w:pStyle w:val="ListNumber"/>
        <w:numPr>
          <w:ilvl w:val="0"/>
          <w:numId w:val="13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第 3 周末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全链路联调是否稳定？决定是否引入真实短信参与答辩演示。</w:t>
      </w:r>
    </w:p>
    <w:p>
      <w:bookmarkStart w:id="20" w:name="_Toc_section_10"/>
      <w:bookmarkStart w:id="9" w:name="section-10"/>
      <w:pPr>
        <w:pStyle w:val="Heading2"/>
        <w:spacing w:line="300" w:lineRule="auto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十、预期成果与效益</w:t>
      </w:r>
      <w:bookmarkEnd w:id="20"/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本章说明交付成果形式与项目预期效益。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10.1 成果形式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一套校园充电桩车位防占智能管理系统原型；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车辆识别、车牌识别、违规判断、短信提醒、后台管理等核心功能模块；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项目技术报告、用户使用说明书、结题报告；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计算机软件著作权（条件允许可申请实用新型专利）；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创新创业竞赛参赛材料及项目商业计划书。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10.2 预期效益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效益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管理效率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违规发现由「人工巡查」转为「自动识别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主动提醒」，巡查成本显著下降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资源利用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通过提高车位周转率，提升单位充电桩的服务车次，缓解校园充电紧张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数据资产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违规记录结构化落库，为车位规划、充电桩扩容提供数据依据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可复制性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模块化、可裁剪、低成本部署，可推广至园区、写字楼与公共停车场</w:t>
            </w:r>
          </w:p>
        </w:tc>
      </w:tr>
    </w:tbl>
    <w:p>
      <w:bookmarkStart w:id="21" w:name="_Toc_section_11"/>
      <w:bookmarkStart w:id="10" w:name="section-11"/>
      <w:pPr>
        <w:pStyle w:val="Heading2"/>
        <w:spacing w:line="300" w:lineRule="auto"/>
      </w:pPr>
      <w:bookmarkEnd w:id="10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附录：事实来源</w:t>
      </w:r>
      <w:bookmarkEnd w:id="21"/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本计划书所述事实均可追溯至下列项目既有材料，未另造概念或数据。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AF1FB"/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出处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项目名称、英文名、依托学院、负责人、指导教师、成员分工、投入精力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附件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：大学生创新创业训练计划项目（创新训练类）立项申请书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四阶段进度、技术指标、预期成果形式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同上（「项目进度安排」「预期成果形式、达到的技术指标」）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技术栈、五层架构、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M1–M7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模块、四规则、风险对策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开发大纲、设计文档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四表字段、接口端点、验收清单、开发基线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rFonts w:ascii="Consolas" w:hAnsi="Consolas"/>
                <w:color w:val="212121"/>
                <w:sz w:val="16"/>
              </w:rPr>
              <w:t>docs/CONTRACT.md</w:t>
            </w:r>
            <w:r>
              <w:rPr>
                <w:color w:val="212121"/>
                <w:sz w:val="16"/>
              </w:rPr>
              <w:t xml:space="preserve"> v1.2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四周冲刺任务分解、里程碑对照、当前完成度审计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rFonts w:ascii="Consolas" w:hAnsi="Consolas"/>
                <w:color w:val="212121"/>
                <w:sz w:val="16"/>
              </w:rPr>
              <w:t>docs/PLAN_4WEEKS.md</w:t>
            </w:r>
            <w:r>
              <w:rPr>
                <w:color w:val="212121"/>
                <w:sz w:val="16"/>
              </w:rPr>
              <w:t xml:space="preserve"> v1.0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云服务器与短信单价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20" w:after="20"/>
            </w:pPr>
            <w:r>
              <w:rPr>
                <w:color w:val="212121"/>
                <w:sz w:val="16"/>
              </w:rPr>
              <w:t>阿里云官网价格公示（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2026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年现行价：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ECS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经济型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实例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核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2G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99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元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年；国内通用短信套餐包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5000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250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元）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  <w:jc w:val="both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32" w:after="0" w:line="255" w:lineRule="auto"/>
      <w:outlineLvl w:val="1"/>
    </w:pPr>
    <w:rPr>
      <w:rFonts w:ascii="微软雅黑" w:hAnsi="微软雅黑" w:eastAsia="微软雅黑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16" w:after="0" w:line="255" w:lineRule="auto"/>
      <w:outlineLvl w:val="2"/>
    </w:pPr>
    <w:rPr>
      <w:rFonts w:ascii="微软雅黑" w:hAnsi="微软雅黑" w:eastAsia="微软雅黑"/>
      <w:b/>
      <w:bCs/>
      <w:color w:val="1565C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