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
        <w:jc w:val="center"/>
      </w:pPr>
      <w:r>
        <w:rPr>
          <w:rFonts w:ascii="微软雅黑" w:hAnsi="微软雅黑"/>
          <w:b/>
          <w:color w:val="1565C0"/>
          <w:sz w:val="28"/>
        </w:rPr>
      </w:r>
      <w:r>
        <w:rPr>
          <w:rFonts w:ascii="微软雅黑" w:hAnsi="微软雅黑" w:eastAsia="微软雅黑" w:cs="微软雅黑" w:hint="eastAsia"/>
          <w:b/>
          <w:color w:val="1565C0"/>
          <w:sz w:val="28"/>
          <w:lang w:eastAsia="zh-CN"/>
        </w:rPr>
        <w:t>大学生创新创业竞赛</w:t>
      </w:r>
      <w:r>
        <w:rPr>
          <w:rFonts w:ascii="微软雅黑" w:hAnsi="微软雅黑"/>
          <w:b/>
          <w:color w:val="1565C0"/>
          <w:sz w:val="28"/>
        </w:rPr>
        <w:t xml:space="preserve"> · </w:t>
      </w:r>
      <w:r>
        <w:rPr>
          <w:rFonts w:ascii="微软雅黑" w:hAnsi="微软雅黑" w:eastAsia="微软雅黑" w:cs="微软雅黑" w:hint="eastAsia"/>
          <w:b/>
          <w:color w:val="1565C0"/>
          <w:sz w:val="28"/>
          <w:lang w:eastAsia="zh-CN"/>
        </w:rPr>
        <w:t>创新训练类</w:t>
      </w:r>
    </w:p>
    <w:p>
      <w:pPr>
        <w:pStyle w:val="Heading1"/>
        <w:spacing w:line="300" w:lineRule="auto" w:after="264"/>
        <w:jc w:val="center"/>
      </w:pPr>
      <w:r>
        <w:rPr>
          <w:rFonts w:ascii="微软雅黑" w:hAnsi="微软雅黑" w:eastAsia="微软雅黑" w:cs="微软雅黑" w:hint="eastAsia"/>
          <w:b/>
          <w:color w:val="1A237E"/>
          <w:sz w:val="44"/>
          <w:lang w:eastAsia="zh-CN"/>
        </w:rPr>
        <w:t>「桩」点北邮</w:t>
      </w:r>
    </w:p>
    <w:p>
      <w:pPr>
        <w:spacing w:line="300" w:lineRule="auto" w:after="216"/>
        <w:jc w:val="center"/>
      </w:pPr>
      <w:r>
        <w:rPr>
          <w:rFonts w:ascii="微软雅黑" w:hAnsi="微软雅黑" w:eastAsia="微软雅黑" w:cs="微软雅黑" w:hint="eastAsia"/>
          <w:b w:val="0"/>
          <w:color w:val="212121"/>
          <w:sz w:val="36"/>
          <w:lang w:eastAsia="zh-CN"/>
        </w:rPr>
        <w:t>充电桩车位防占系统</w:t>
      </w:r>
      <w:r>
        <w:rPr>
          <w:rFonts w:ascii="微软雅黑" w:hAnsi="微软雅黑"/>
          <w:b w:val="0"/>
          <w:color w:val="212121"/>
          <w:sz w:val="36"/>
        </w:rPr>
        <w:t xml:space="preserve"> · </w:t>
      </w:r>
      <w:r>
        <w:rPr>
          <w:rFonts w:ascii="微软雅黑" w:hAnsi="微软雅黑" w:eastAsia="微软雅黑" w:cs="微软雅黑" w:hint="eastAsia"/>
          <w:b w:val="0"/>
          <w:color w:val="212121"/>
          <w:sz w:val="36"/>
          <w:lang w:eastAsia="zh-CN"/>
        </w:rPr>
        <w:t>商业计划书</w:t>
      </w:r>
    </w:p>
    <w:p>
      <w:pPr>
        <w:spacing w:after="384"/>
        <w:jc w:val="center"/>
      </w:pPr>
      <w:r>
        <w:rPr>
          <w:rFonts w:ascii="DIN Next" w:hAnsi="DIN Next"/>
          <w:color w:val="616161"/>
          <w:sz w:val="16"/>
        </w:rPr>
        <w:t>BUPT Charging Guard — EV Parking Anti-Occupation System</w:t>
      </w:r>
    </w:p>
    <w:p>
      <w:pPr>
        <w:spacing w:line="384" w:lineRule="auto" w:after="48"/>
        <w:jc w:val="center"/>
      </w:pPr>
      <w:r>
        <w:rPr>
          <w:rFonts w:ascii="微软雅黑" w:eastAsia="微软雅黑" w:hAnsi="微软雅黑" w:cs="微软雅黑" w:hint="eastAsia"/>
          <w:color w:val="212121"/>
          <w:sz w:val="16"/>
          <w:lang w:eastAsia="zh-CN"/>
        </w:rPr>
        <w:t>团队负责人：吕浩（</w:t>
      </w:r>
      <w:r>
        <w:rPr>
          <w:color w:val="212121"/>
          <w:sz w:val="16"/>
        </w:rPr>
        <w:t>2024210416</w:t>
      </w:r>
      <w:r>
        <w:rPr>
          <w:rFonts w:ascii="微软雅黑" w:eastAsia="微软雅黑" w:hAnsi="微软雅黑" w:cs="微软雅黑" w:hint="eastAsia"/>
          <w:color w:val="212121"/>
          <w:sz w:val="16"/>
          <w:lang w:eastAsia="zh-CN"/>
        </w:rPr>
        <w:t>）　　指导教师：景文鹏（副教授）</w:t>
      </w:r>
    </w:p>
    <w:p>
      <w:pPr>
        <w:spacing w:line="384" w:lineRule="auto" w:after="48"/>
        <w:jc w:val="center"/>
      </w:pPr>
      <w:r>
        <w:rPr>
          <w:rFonts w:ascii="微软雅黑" w:eastAsia="微软雅黑" w:hAnsi="微软雅黑" w:cs="微软雅黑" w:hint="eastAsia"/>
          <w:color w:val="212121"/>
          <w:sz w:val="16"/>
          <w:lang w:eastAsia="zh-CN"/>
        </w:rPr>
        <w:t>团队成员：吕浩</w:t>
      </w:r>
      <w:r>
        <w:rPr>
          <w:color w:val="212121"/>
          <w:sz w:val="16"/>
        </w:rPr>
        <w:t xml:space="preserve"> · </w:t>
      </w:r>
      <w:r>
        <w:rPr>
          <w:rFonts w:ascii="微软雅黑" w:eastAsia="微软雅黑" w:hAnsi="微软雅黑" w:cs="微软雅黑" w:hint="eastAsia"/>
          <w:color w:val="212121"/>
          <w:sz w:val="16"/>
          <w:lang w:eastAsia="zh-CN"/>
        </w:rPr>
        <w:t>汤瑾睿</w:t>
      </w:r>
      <w:r>
        <w:rPr>
          <w:color w:val="212121"/>
          <w:sz w:val="16"/>
        </w:rPr>
        <w:t xml:space="preserve"> · </w:t>
      </w:r>
      <w:r>
        <w:rPr>
          <w:rFonts w:ascii="微软雅黑" w:eastAsia="微软雅黑" w:hAnsi="微软雅黑" w:cs="微软雅黑" w:hint="eastAsia"/>
          <w:color w:val="212121"/>
          <w:sz w:val="16"/>
          <w:lang w:eastAsia="zh-CN"/>
        </w:rPr>
        <w:t>吴和庆</w:t>
      </w:r>
    </w:p>
    <w:p>
      <w:pPr>
        <w:spacing w:line="384" w:lineRule="auto" w:after="48"/>
        <w:jc w:val="center"/>
      </w:pPr>
      <w:r>
        <w:rPr>
          <w:rFonts w:ascii="微软雅黑" w:eastAsia="微软雅黑" w:hAnsi="微软雅黑" w:cs="微软雅黑" w:hint="eastAsia"/>
          <w:color w:val="212121"/>
          <w:sz w:val="16"/>
          <w:lang w:eastAsia="zh-CN"/>
        </w:rPr>
        <w:t>依托单位：北京邮电大学 信息与通信工程学院</w:t>
      </w:r>
    </w:p>
    <w:p>
      <w:pPr>
        <w:spacing w:line="384" w:lineRule="auto" w:after="48"/>
        <w:jc w:val="center"/>
      </w:pPr>
      <w:r>
        <w:rPr>
          <w:rFonts w:ascii="微软雅黑" w:eastAsia="微软雅黑" w:hAnsi="微软雅黑" w:cs="微软雅黑" w:hint="eastAsia"/>
          <w:color w:val="212121"/>
          <w:sz w:val="16"/>
          <w:lang w:eastAsia="zh-CN"/>
        </w:rPr>
        <w:t>文档版本：</w:t>
      </w:r>
      <w:r>
        <w:rPr>
          <w:color w:val="212121"/>
          <w:sz w:val="16"/>
        </w:rPr>
        <w:t>v1.0</w:t>
      </w:r>
      <w:r>
        <w:rPr>
          <w:rFonts w:ascii="微软雅黑" w:eastAsia="微软雅黑" w:hAnsi="微软雅黑" w:cs="微软雅黑" w:hint="eastAsia"/>
          <w:color w:val="212121"/>
          <w:sz w:val="16"/>
          <w:lang w:eastAsia="zh-CN"/>
        </w:rPr>
        <w:t xml:space="preserve">　</w:t>
      </w:r>
      <w:r>
        <w:rPr>
          <w:color w:val="212121"/>
          <w:sz w:val="16"/>
        </w:rPr>
        <w:t>|</w:t>
      </w:r>
      <w:r>
        <w:rPr>
          <w:rFonts w:ascii="微软雅黑" w:eastAsia="微软雅黑" w:hAnsi="微软雅黑" w:cs="微软雅黑" w:hint="eastAsia"/>
          <w:color w:val="212121"/>
          <w:sz w:val="16"/>
          <w:lang w:eastAsia="zh-CN"/>
        </w:rPr>
        <w:t xml:space="preserve">　编制日期：</w:t>
      </w:r>
      <w:r>
        <w:rPr>
          <w:color w:val="212121"/>
          <w:sz w:val="16"/>
        </w:rPr>
        <w:t>2026-09-14</w:t>
      </w:r>
      <w:r>
        <w:rPr>
          <w:rFonts w:ascii="微软雅黑" w:eastAsia="微软雅黑" w:hAnsi="微软雅黑" w:cs="微软雅黑" w:hint="eastAsia"/>
          <w:color w:val="212121"/>
          <w:sz w:val="16"/>
          <w:lang w:eastAsia="zh-CN"/>
        </w:rPr>
        <w:t xml:space="preserve">　</w:t>
      </w:r>
      <w:r>
        <w:rPr>
          <w:color w:val="212121"/>
          <w:sz w:val="16"/>
        </w:rPr>
        <w:t>|</w:t>
      </w:r>
      <w:r>
        <w:rPr>
          <w:rFonts w:ascii="微软雅黑" w:eastAsia="微软雅黑" w:hAnsi="微软雅黑" w:cs="微软雅黑" w:hint="eastAsia"/>
          <w:color w:val="212121"/>
          <w:sz w:val="16"/>
          <w:lang w:eastAsia="zh-CN"/>
        </w:rPr>
        <w:t xml:space="preserve">　数据截止：</w:t>
      </w:r>
      <w:r>
        <w:rPr>
          <w:color w:val="212121"/>
          <w:sz w:val="16"/>
        </w:rPr>
        <w:t xml:space="preserve">2026 </w:t>
      </w:r>
      <w:r>
        <w:rPr>
          <w:rFonts w:ascii="微软雅黑" w:eastAsia="微软雅黑" w:hAnsi="微软雅黑" w:cs="微软雅黑" w:hint="eastAsia"/>
          <w:color w:val="212121"/>
          <w:sz w:val="16"/>
          <w:lang w:eastAsia="zh-CN"/>
        </w:rPr>
        <w:t>年</w:t>
      </w:r>
      <w:r>
        <w:rPr>
          <w:color w:val="212121"/>
          <w:sz w:val="16"/>
        </w:rPr>
        <w:t xml:space="preserve"> 6 </w:t>
      </w:r>
      <w:r>
        <w:rPr>
          <w:rFonts w:ascii="微软雅黑" w:eastAsia="微软雅黑" w:hAnsi="微软雅黑" w:cs="微软雅黑" w:hint="eastAsia"/>
          <w:color w:val="212121"/>
          <w:sz w:val="16"/>
          <w:lang w:eastAsia="zh-CN"/>
        </w:rPr>
        <w:t>月</w:t>
      </w:r>
    </w:p>
    <w:p>
      <w:pPr>
        <w:spacing w:line="384" w:lineRule="auto" w:before="126"/>
        <w:jc w:val="center"/>
      </w:pPr>
      <w:r>
        <w:rPr>
          <w:rFonts w:ascii="微软雅黑" w:eastAsia="微软雅黑" w:hAnsi="微软雅黑" w:cs="微软雅黑" w:hint="eastAsia"/>
          <w:color w:val="616161"/>
          <w:sz w:val="14"/>
          <w:lang w:eastAsia="zh-CN"/>
        </w:rPr>
        <w:t>依据文件：立项申请书、开发大纲、设计文档、</w:t>
      </w:r>
      <w:r>
        <w:rPr>
          <w:color w:val="616161"/>
          <w:sz w:val="14"/>
        </w:rPr>
        <w:t>docs/CONTRACT.md v1.2</w:t>
      </w:r>
      <w:r>
        <w:rPr>
          <w:rFonts w:ascii="微软雅黑" w:eastAsia="微软雅黑" w:hAnsi="微软雅黑" w:cs="微软雅黑" w:hint="eastAsia"/>
          <w:color w:val="616161"/>
          <w:sz w:val="14"/>
          <w:lang w:eastAsia="zh-CN"/>
        </w:rPr>
        <w:t>、</w:t>
      </w:r>
      <w:r>
        <w:rPr>
          <w:color w:val="616161"/>
          <w:sz w:val="14"/>
        </w:rPr>
        <w:t>docs/PLAN_4WEEKS.md v1.0</w:t>
      </w:r>
      <w:r/>
    </w:p>
    <w:p>
      <w:pPr>
        <w:sectPr>
          <w:type w:val="nextPage"/>
          <w:pgSz w:w="11906" w:h="16838"/>
          <w:pgMar w:top="1417" w:bottom="1134" w:left="1417" w:right="1417"/>
        </w:sectPr>
      </w:pPr>
    </w:p>
    <w:p>
      <w:pPr>
        <w:spacing w:after="62"/>
      </w:pPr>
      <w:r/>
      <w:r>
        <w:rPr>
          <w:rFonts w:ascii="微软雅黑" w:hAnsi="微软雅黑" w:eastAsia="微软雅黑" w:hint="eastAsia"/>
          <w:b/>
          <w:color w:val="1A237E"/>
          <w:sz w:val="22"/>
        </w:rPr>
        <w:t>目录</w:t>
      </w:r>
    </w:p>
    <w:p>
      <w:hyperlink w:anchor="_Toc_section_1">
        <w:r>
          <w:rPr>
            <w:rFonts w:hint="eastAsia"/>
            <w:color w:val="000000"/>
            <w:u w:val="none"/>
          </w:rPr>
          <w:t xml:space="preserve">一、项目概述</w:t>
        </w:r>
      </w:hyperlink>
    </w:p>
    <w:p>
      <w:hyperlink w:anchor="_Toc_section_2">
        <w:r>
          <w:rPr>
            <w:rFonts w:hint="eastAsia"/>
            <w:color w:val="000000"/>
            <w:u w:val="none"/>
          </w:rPr>
          <w:t xml:space="preserve">二、市场与需求分析</w:t>
        </w:r>
      </w:hyperlink>
    </w:p>
    <w:p>
      <w:hyperlink w:anchor="_Toc_section_3">
        <w:r>
          <w:rPr>
            <w:rFonts w:hint="eastAsia"/>
            <w:color w:val="000000"/>
            <w:u w:val="none"/>
          </w:rPr>
          <w:t xml:space="preserve">三、产品与服务</w:t>
        </w:r>
      </w:hyperlink>
    </w:p>
    <w:p>
      <w:hyperlink w:anchor="_Toc_section_4">
        <w:r>
          <w:rPr>
            <w:rFonts w:hint="eastAsia"/>
            <w:color w:val="000000"/>
            <w:u w:val="none"/>
          </w:rPr>
          <w:t xml:space="preserve">四、商业模式</w:t>
        </w:r>
      </w:hyperlink>
    </w:p>
    <w:p>
      <w:hyperlink w:anchor="_Toc_section_5">
        <w:r>
          <w:rPr>
            <w:rFonts w:hint="eastAsia"/>
            <w:color w:val="000000"/>
            <w:u w:val="none"/>
          </w:rPr>
          <w:t xml:space="preserve">五、竞争分析</w:t>
        </w:r>
      </w:hyperlink>
    </w:p>
    <w:p>
      <w:hyperlink w:anchor="_Toc_section_6">
        <w:r>
          <w:rPr>
            <w:rFonts w:hint="eastAsia"/>
            <w:color w:val="000000"/>
            <w:u w:val="none"/>
          </w:rPr>
          <w:t xml:space="preserve">六、营销与推广策略</w:t>
        </w:r>
      </w:hyperlink>
    </w:p>
    <w:p>
      <w:hyperlink w:anchor="_Toc_section_7">
        <w:r>
          <w:rPr>
            <w:rFonts w:hint="eastAsia"/>
            <w:color w:val="000000"/>
            <w:u w:val="none"/>
          </w:rPr>
          <w:t xml:space="preserve">七、团队介绍</w:t>
        </w:r>
      </w:hyperlink>
    </w:p>
    <w:p>
      <w:hyperlink w:anchor="_Toc_section_8">
        <w:r>
          <w:rPr>
            <w:rFonts w:hint="eastAsia"/>
            <w:color w:val="000000"/>
            <w:u w:val="none"/>
          </w:rPr>
          <w:t xml:space="preserve">八、财务预测与分析</w:t>
        </w:r>
      </w:hyperlink>
    </w:p>
    <w:p>
      <w:hyperlink w:anchor="_Toc_section_9">
        <w:r>
          <w:rPr>
            <w:rFonts w:hint="eastAsia"/>
            <w:color w:val="000000"/>
            <w:u w:val="none"/>
          </w:rPr>
          <w:t xml:space="preserve">九、风险分析与对策</w:t>
        </w:r>
      </w:hyperlink>
    </w:p>
    <w:p>
      <w:hyperlink w:anchor="_Toc_section_10">
        <w:r>
          <w:rPr>
            <w:rFonts w:hint="eastAsia"/>
            <w:color w:val="000000"/>
            <w:u w:val="none"/>
          </w:rPr>
          <w:t xml:space="preserve">十、预期成果与社会效益</w:t>
        </w:r>
      </w:hyperlink>
    </w:p>
    <w:p>
      <w:hyperlink w:anchor="_Toc_section_11">
        <w:r>
          <w:rPr>
            <w:rFonts w:hint="eastAsia"/>
            <w:color w:val="000000"/>
            <w:u w:val="none"/>
          </w:rPr>
          <w:t xml:space="preserve">附录一、技术指标与验收门槛</w:t>
        </w:r>
      </w:hyperlink>
    </w:p>
    <w:p>
      <w:hyperlink w:anchor="_Toc_section_12">
        <w:r>
          <w:rPr>
            <w:rFonts w:hint="eastAsia"/>
            <w:color w:val="000000"/>
            <w:u w:val="none"/>
          </w:rPr>
          <w:t xml:space="preserve">附录二、事实来源与数据出处</w:t>
        </w:r>
      </w:hyperlink>
    </w:p>
    <w:p>
      <w:pPr>
        <w:pStyle w:val="Heading2"/>
        <w:spacing w:line="300" w:lineRule="auto" w:after="73"/>
      </w:pPr>
      <w:r>
        <w:rPr>
          <w:rFonts w:ascii="微软雅黑" w:hAnsi="微软雅黑" w:eastAsia="微软雅黑" w:cs="微软雅黑" w:hint="eastAsia"/>
          <w:b/>
          <w:color w:val="1A237E"/>
          <w:sz w:val="26"/>
          <w:lang w:eastAsia="zh-CN"/>
        </w:rPr>
        <w:t>执行摘要</w:t>
      </w:r>
    </w:p>
    <w:p>
      <w:pPr>
        <w:spacing w:after="126"/>
        <w:jc w:val="both"/>
      </w:pPr>
      <w:r>
        <w:rPr>
          <w:rFonts w:ascii="DIN Next" w:hAnsi="DIN Next"/>
          <w:color w:val="616161"/>
          <w:sz w:val="14"/>
        </w:rPr>
        <w:t>EXECUTIVE SUMMARY</w:t>
      </w:r>
    </w:p>
    <w:tbl>
      <w:tblPr>
        <w:tblW w:type="pct" w:w="5000"/>
        <w:tblLayout w:type="autofit"/>
        <w:tblLook w:firstColumn="1" w:firstRow="1" w:lastColumn="0" w:lastRow="0" w:noHBand="0" w:noVBand="1" w:val="04A0"/>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项目概况</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内容</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项目全称</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「桩」点北邮</w:t>
            </w:r>
            <w:r>
              <w:rPr>
                <w:color w:val="212121"/>
                <w:sz w:val="16"/>
              </w:rPr>
              <w:t xml:space="preserve"> </w:t>
            </w:r>
            <w:r>
              <w:rPr>
                <w:color w:val="212121"/>
                <w:sz w:val="16"/>
              </w:rPr>
              <w:t>——</w:t>
            </w:r>
            <w:r>
              <w:rPr>
                <w:color w:val="212121"/>
                <w:sz w:val="16"/>
              </w:rPr>
              <w:t xml:space="preserve"> </w:t>
            </w:r>
            <w:r>
              <w:rPr>
                <w:color w:val="212121"/>
                <w:sz w:val="16"/>
              </w:rPr>
              <w:t>充电桩车位防占系统</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英文名称</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BUPT Charging Guard: EV Parking Anti-Occupation System</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参赛类别</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大学生创新创业竞赛</w:t>
            </w:r>
            <w:r>
              <w:rPr>
                <w:color w:val="212121"/>
                <w:sz w:val="16"/>
              </w:rPr>
              <w:t xml:space="preserve"> </w:t>
            </w:r>
            <w:r>
              <w:rPr>
                <w:color w:val="212121"/>
                <w:sz w:val="16"/>
              </w:rPr>
              <w:t xml:space="preserve"> · </w:t>
            </w:r>
            <w:r>
              <w:rPr>
                <w:color w:val="212121"/>
                <w:sz w:val="16"/>
              </w:rPr>
              <w:t xml:space="preserve"> </w:t>
            </w:r>
            <w:r>
              <w:rPr>
                <w:color w:val="212121"/>
                <w:sz w:val="16"/>
              </w:rPr>
              <w:t>创新训练类</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依托单位</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北京邮电大学 信息与通信工程学院</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团队负责人</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吕浩（</w:t>
            </w:r>
            <w:r>
              <w:rPr>
                <w:color w:val="212121"/>
                <w:sz w:val="16"/>
              </w:rPr>
              <w:t xml:space="preserve"> </w:t>
            </w:r>
            <w:r>
              <w:rPr>
                <w:color w:val="212121"/>
                <w:sz w:val="16"/>
              </w:rPr>
              <w:t>2024210416</w:t>
            </w:r>
            <w:r>
              <w:rPr>
                <w:color w:val="212121"/>
                <w:sz w:val="16"/>
              </w:rPr>
              <w:t xml:space="preserve"> </w:t>
            </w:r>
            <w:r>
              <w:rPr>
                <w:color w:val="212121"/>
                <w:sz w:val="16"/>
              </w:rPr>
              <w:t>）</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指导教师</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景文鹏（副教授）</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团队成员</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吕浩（统筹</w:t>
            </w:r>
            <w:r>
              <w:rPr>
                <w:color w:val="212121"/>
                <w:sz w:val="16"/>
              </w:rPr>
              <w:t xml:space="preserve"> </w:t>
            </w:r>
            <w:r>
              <w:rPr>
                <w:color w:val="212121"/>
                <w:sz w:val="16"/>
              </w:rPr>
              <w:t xml:space="preserve"> / </w:t>
            </w:r>
            <w:r>
              <w:rPr>
                <w:color w:val="212121"/>
                <w:sz w:val="16"/>
              </w:rPr>
              <w:t xml:space="preserve"> </w:t>
            </w:r>
            <w:r>
              <w:rPr>
                <w:color w:val="212121"/>
                <w:sz w:val="16"/>
              </w:rPr>
              <w:t>集成</w:t>
            </w:r>
            <w:r>
              <w:rPr>
                <w:color w:val="212121"/>
                <w:sz w:val="16"/>
              </w:rPr>
              <w:t xml:space="preserve"> </w:t>
            </w:r>
            <w:r>
              <w:rPr>
                <w:color w:val="212121"/>
                <w:sz w:val="16"/>
              </w:rPr>
              <w:t xml:space="preserve"> / </w:t>
            </w:r>
            <w:r>
              <w:rPr>
                <w:color w:val="212121"/>
                <w:sz w:val="16"/>
              </w:rPr>
              <w:t xml:space="preserve"> </w:t>
            </w:r>
            <w:r>
              <w:rPr>
                <w:color w:val="212121"/>
                <w:sz w:val="16"/>
              </w:rPr>
              <w:t>前端）、汤瑾睿（后端</w:t>
            </w:r>
            <w:r>
              <w:rPr>
                <w:color w:val="212121"/>
                <w:sz w:val="16"/>
              </w:rPr>
              <w:t xml:space="preserve"> </w:t>
            </w:r>
            <w:r>
              <w:rPr>
                <w:color w:val="212121"/>
                <w:sz w:val="16"/>
              </w:rPr>
              <w:t xml:space="preserve"> / </w:t>
            </w:r>
            <w:r>
              <w:rPr>
                <w:color w:val="212121"/>
                <w:sz w:val="16"/>
              </w:rPr>
              <w:t xml:space="preserve"> </w:t>
            </w:r>
            <w:r>
              <w:rPr>
                <w:color w:val="212121"/>
                <w:sz w:val="16"/>
              </w:rPr>
              <w:t>数据库</w:t>
            </w:r>
            <w:r>
              <w:rPr>
                <w:color w:val="212121"/>
                <w:sz w:val="16"/>
              </w:rPr>
              <w:t xml:space="preserve"> </w:t>
            </w:r>
            <w:r>
              <w:rPr>
                <w:color w:val="212121"/>
                <w:sz w:val="16"/>
              </w:rPr>
              <w:t xml:space="preserve"> / </w:t>
            </w:r>
            <w:r>
              <w:rPr>
                <w:color w:val="212121"/>
                <w:sz w:val="16"/>
              </w:rPr>
              <w:t xml:space="preserve"> </w:t>
            </w:r>
            <w:r>
              <w:rPr>
                <w:color w:val="212121"/>
                <w:sz w:val="16"/>
              </w:rPr>
              <w:t>算法）、吴和庆（</w:t>
            </w:r>
            <w:r>
              <w:rPr>
                <w:color w:val="212121"/>
                <w:sz w:val="16"/>
              </w:rPr>
              <w:t xml:space="preserve"> </w:t>
            </w:r>
            <w:r>
              <w:rPr>
                <w:color w:val="212121"/>
                <w:sz w:val="16"/>
              </w:rPr>
              <w:t xml:space="preserve">UI / </w:t>
            </w:r>
            <w:r>
              <w:rPr>
                <w:color w:val="212121"/>
                <w:sz w:val="16"/>
              </w:rPr>
              <w:t xml:space="preserve"> </w:t>
            </w:r>
            <w:r>
              <w:rPr>
                <w:color w:val="212121"/>
                <w:sz w:val="16"/>
              </w:rPr>
              <w:t>美术）</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产品形态</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软件为主、硬件可选的充电车位智能监管系统（识别</w:t>
            </w:r>
            <w:r>
              <w:rPr>
                <w:color w:val="212121"/>
                <w:sz w:val="16"/>
              </w:rPr>
              <w:t xml:space="preserve"> </w:t>
            </w:r>
            <w:r>
              <w:rPr>
                <w:color w:val="212121"/>
                <w:sz w:val="16"/>
              </w:rPr>
              <w:t xml:space="preserve"> + </w:t>
            </w:r>
            <w:r>
              <w:rPr>
                <w:color w:val="212121"/>
                <w:sz w:val="16"/>
              </w:rPr>
              <w:t xml:space="preserve"> </w:t>
            </w:r>
            <w:r>
              <w:rPr>
                <w:color w:val="212121"/>
                <w:sz w:val="16"/>
              </w:rPr>
              <w:t>判断</w:t>
            </w:r>
            <w:r>
              <w:rPr>
                <w:color w:val="212121"/>
                <w:sz w:val="16"/>
              </w:rPr>
              <w:t xml:space="preserve"> </w:t>
            </w:r>
            <w:r>
              <w:rPr>
                <w:color w:val="212121"/>
                <w:sz w:val="16"/>
              </w:rPr>
              <w:t xml:space="preserve"> + </w:t>
            </w:r>
            <w:r>
              <w:rPr>
                <w:color w:val="212121"/>
                <w:sz w:val="16"/>
              </w:rPr>
              <w:t xml:space="preserve"> </w:t>
            </w:r>
            <w:r>
              <w:rPr>
                <w:color w:val="212121"/>
                <w:sz w:val="16"/>
              </w:rPr>
              <w:t>提醒</w:t>
            </w:r>
            <w:r>
              <w:rPr>
                <w:color w:val="212121"/>
                <w:sz w:val="16"/>
              </w:rPr>
              <w:t xml:space="preserve"> </w:t>
            </w:r>
            <w:r>
              <w:rPr>
                <w:color w:val="212121"/>
                <w:sz w:val="16"/>
              </w:rPr>
              <w:t xml:space="preserve"> + </w:t>
            </w:r>
            <w:r>
              <w:rPr>
                <w:color w:val="212121"/>
                <w:sz w:val="16"/>
              </w:rPr>
              <w:t xml:space="preserve"> </w:t>
            </w:r>
            <w:r>
              <w:rPr>
                <w:color w:val="212121"/>
                <w:sz w:val="16"/>
              </w:rPr>
              <w:t>留痕）</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客户对象</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高校后勤与充电设施管理部门、党政机关与公立医院等公共机构、园区写字楼运营方</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收入模式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平台部署费</w:t>
            </w:r>
            <w:r>
              <w:rPr>
                <w:color w:val="212121"/>
                <w:sz w:val="16"/>
              </w:rPr>
              <w:t xml:space="preserve"> </w:t>
            </w:r>
            <w:r>
              <w:rPr>
                <w:color w:val="212121"/>
                <w:sz w:val="16"/>
              </w:rPr>
              <w:t xml:space="preserve"> + </w:t>
            </w:r>
            <w:r>
              <w:rPr>
                <w:color w:val="212121"/>
                <w:sz w:val="16"/>
              </w:rPr>
              <w:t xml:space="preserve"> </w:t>
            </w:r>
            <w:r>
              <w:rPr>
                <w:color w:val="212121"/>
                <w:sz w:val="16"/>
              </w:rPr>
              <w:t>按监管车位计费的年度授权费</w:t>
            </w:r>
            <w:r>
              <w:rPr>
                <w:color w:val="212121"/>
                <w:sz w:val="16"/>
              </w:rPr>
              <w:t xml:space="preserve"> </w:t>
            </w:r>
            <w:r>
              <w:rPr>
                <w:color w:val="212121"/>
                <w:sz w:val="16"/>
              </w:rPr>
              <w:t xml:space="preserve"> + </w:t>
            </w:r>
            <w:r>
              <w:rPr>
                <w:color w:val="212121"/>
                <w:sz w:val="16"/>
              </w:rPr>
              <w:t xml:space="preserve"> </w:t>
            </w:r>
            <w:r>
              <w:rPr>
                <w:color w:val="212121"/>
                <w:sz w:val="16"/>
              </w:rPr>
              <w:t>短信通道费</w:t>
            </w:r>
            <w:r>
              <w:rPr>
                <w:color w:val="212121"/>
                <w:sz w:val="16"/>
              </w:rPr>
              <w:t xml:space="preserve"> </w:t>
            </w:r>
            <w:r>
              <w:rPr>
                <w:color w:val="212121"/>
                <w:sz w:val="16"/>
              </w:rPr>
              <w:t xml:space="preserve"> + </w:t>
            </w:r>
            <w:r>
              <w:rPr>
                <w:color w:val="212121"/>
                <w:sz w:val="16"/>
              </w:rPr>
              <w:t xml:space="preserve"> </w:t>
            </w:r>
            <w:r>
              <w:rPr>
                <w:color w:val="212121"/>
                <w:sz w:val="16"/>
              </w:rPr>
              <w:t>可选增值模块</w:t>
            </w:r>
          </w:p>
        </w:tc>
      </w:tr>
      <w:tr>
        <w:tc>
          <w:tcPr>
            <w:tcW w:type="dxa" w:w="60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三年目标</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期末存量</w:t>
            </w:r>
            <w:r>
              <w:rPr>
                <w:color w:val="212121"/>
                <w:sz w:val="16"/>
              </w:rPr>
              <w:t xml:space="preserve"> </w:t>
            </w:r>
            <w:r>
              <w:rPr>
                <w:color w:val="212121"/>
                <w:sz w:val="16"/>
              </w:rPr>
              <w:t xml:space="preserve"> 41 </w:t>
            </w:r>
            <w:r>
              <w:rPr>
                <w:color w:val="212121"/>
                <w:sz w:val="16"/>
              </w:rPr>
              <w:t xml:space="preserve"> </w:t>
            </w:r>
            <w:r>
              <w:rPr>
                <w:color w:val="212121"/>
                <w:sz w:val="16"/>
              </w:rPr>
              <w:t>个场站，第</w:t>
            </w:r>
            <w:r>
              <w:rPr>
                <w:color w:val="212121"/>
                <w:sz w:val="16"/>
              </w:rPr>
              <w:t xml:space="preserve"> </w:t>
            </w:r>
            <w:r>
              <w:rPr>
                <w:color w:val="212121"/>
                <w:sz w:val="16"/>
              </w:rPr>
              <w:t xml:space="preserve"> 3 </w:t>
            </w:r>
            <w:r>
              <w:rPr>
                <w:color w:val="212121"/>
                <w:sz w:val="16"/>
              </w:rPr>
              <w:t xml:space="preserve"> </w:t>
            </w:r>
            <w:r>
              <w:rPr>
                <w:color w:val="212121"/>
                <w:sz w:val="16"/>
              </w:rPr>
              <w:t>年收入约</w:t>
            </w:r>
            <w:r>
              <w:rPr>
                <w:color w:val="212121"/>
                <w:sz w:val="16"/>
              </w:rPr>
              <w:t xml:space="preserve"> </w:t>
            </w:r>
            <w:r>
              <w:rPr>
                <w:color w:val="212121"/>
                <w:sz w:val="16"/>
              </w:rPr>
              <w:t xml:space="preserve"> 140.6 </w:t>
            </w:r>
            <w:r>
              <w:rPr>
                <w:color w:val="212121"/>
                <w:sz w:val="16"/>
              </w:rPr>
              <w:t xml:space="preserve"> </w:t>
            </w:r>
            <w:r>
              <w:rPr>
                <w:color w:val="212121"/>
                <w:sz w:val="16"/>
              </w:rPr>
              <w:t>万元，经常性收入占比约</w:t>
            </w:r>
            <w:r>
              <w:rPr>
                <w:color w:val="212121"/>
                <w:sz w:val="16"/>
              </w:rPr>
              <w:t xml:space="preserve"> </w:t>
            </w:r>
            <w:r>
              <w:rPr>
                <w:color w:val="212121"/>
                <w:sz w:val="16"/>
              </w:rPr>
              <w:t xml:space="preserve"> 46.7%</w:t>
            </w:r>
          </w:p>
        </w:tc>
      </w:tr>
    </w:tbl>
    <w:p>
      <w:pPr>
        <w:jc w:val="both"/>
      </w:pPr>
      <w:r>
        <w:rPr>
          <w:rFonts w:ascii="微软雅黑" w:eastAsia="微软雅黑" w:hAnsi="微软雅黑" w:cs="微软雅黑" w:hint="eastAsia"/>
          <w:sz w:val="20"/>
          <w:lang w:eastAsia="zh-CN"/>
        </w:rPr>
        <w:t>「桩」点北邮面向高校与公共机构的充电车位管理，以「视觉识别</w:t>
      </w:r>
      <w:r>
        <w:rPr>
          <w:sz w:val="20"/>
        </w:rPr>
        <w:t xml:space="preserve"> + </w:t>
      </w:r>
      <w:r>
        <w:rPr>
          <w:rFonts w:ascii="微软雅黑" w:eastAsia="微软雅黑" w:hAnsi="微软雅黑" w:cs="微软雅黑" w:hint="eastAsia"/>
          <w:sz w:val="20"/>
          <w:lang w:eastAsia="zh-CN"/>
        </w:rPr>
        <w:t>设备状态」融合判断的方式，识别燃油车占位、异常占位与新能源车充满未移车三类违规，命中即短信提醒车主并结构化落库，形成「识别</w:t>
      </w:r>
      <w:r>
        <w:rPr>
          <w:sz w:val="20"/>
        </w:rPr>
        <w:t>—</w:t>
      </w:r>
      <w:r>
        <w:rPr>
          <w:rFonts w:ascii="微软雅黑" w:eastAsia="微软雅黑" w:hAnsi="微软雅黑" w:cs="微软雅黑" w:hint="eastAsia"/>
          <w:sz w:val="20"/>
          <w:lang w:eastAsia="zh-CN"/>
        </w:rPr>
        <w:t>判断</w:t>
      </w:r>
      <w:r>
        <w:rPr>
          <w:sz w:val="20"/>
        </w:rPr>
        <w:t>—</w:t>
      </w:r>
      <w:r>
        <w:rPr>
          <w:rFonts w:ascii="微软雅黑" w:eastAsia="微软雅黑" w:hAnsi="微软雅黑" w:cs="微软雅黑" w:hint="eastAsia"/>
          <w:sz w:val="20"/>
          <w:lang w:eastAsia="zh-CN"/>
        </w:rPr>
        <w:t>提醒</w:t>
      </w:r>
      <w:r>
        <w:rPr>
          <w:sz w:val="20"/>
        </w:rPr>
        <w:t>—</w:t>
      </w:r>
      <w:r>
        <w:rPr>
          <w:rFonts w:ascii="微软雅黑" w:eastAsia="微软雅黑" w:hAnsi="微软雅黑" w:cs="微软雅黑" w:hint="eastAsia"/>
          <w:sz w:val="20"/>
          <w:lang w:eastAsia="zh-CN"/>
        </w:rPr>
        <w:t>留痕」的自动闭环。项目的立足点是：判定违规所必需的「充电状态」这一维度，只有与视觉识别联合才可获得，因此现有方案普遍无法识别「充满未移车」这类中间状态。政策层面，公共机构充电车位配建不低于总车位</w:t>
      </w:r>
      <w:r>
        <w:rPr>
          <w:sz w:val="20"/>
        </w:rPr>
        <w:t xml:space="preserve"> 25% </w:t>
      </w:r>
      <w:r>
        <w:rPr>
          <w:rFonts w:ascii="微软雅黑" w:eastAsia="微软雅黑" w:hAnsi="微软雅黑" w:cs="微软雅黑" w:hint="eastAsia"/>
          <w:sz w:val="20"/>
          <w:lang w:eastAsia="zh-CN"/>
        </w:rPr>
        <w:t>的行业标准自</w:t>
      </w:r>
      <w:r>
        <w:rPr>
          <w:sz w:val="20"/>
        </w:rPr>
        <w:t xml:space="preserve"> 2026 </w:t>
      </w:r>
      <w:r>
        <w:rPr>
          <w:rFonts w:ascii="微软雅黑" w:eastAsia="微软雅黑" w:hAnsi="微软雅黑" w:cs="微软雅黑" w:hint="eastAsia"/>
          <w:sz w:val="20"/>
          <w:lang w:eastAsia="zh-CN"/>
        </w:rPr>
        <w:t>年</w:t>
      </w:r>
      <w:r>
        <w:rPr>
          <w:sz w:val="20"/>
        </w:rPr>
        <w:t xml:space="preserve"> 3 </w:t>
      </w:r>
      <w:r>
        <w:rPr>
          <w:rFonts w:ascii="微软雅黑" w:eastAsia="微软雅黑" w:hAnsi="微软雅黑" w:cs="微软雅黑" w:hint="eastAsia"/>
          <w:sz w:val="20"/>
          <w:lang w:eastAsia="zh-CN"/>
        </w:rPr>
        <w:t>月起实施，需求正在成规模扩大。团队已完成接口契约、数据库四表与规则引擎、后端接口层，端到端闭环已打通，当前主线为管理后台与计算机视觉真实模型。</w:t>
      </w:r>
    </w:p>
    <w:p>
      <w:bookmarkStart w:id="12" w:name="_Toc_section_1"/>
      <w:bookmarkStart w:id="0" w:name="section-1"/>
      <w:pPr>
        <w:pStyle w:val="Heading2"/>
        <w:spacing w:line="300" w:lineRule="auto"/>
      </w:pPr>
      <w:bookmarkEnd w:id="0"/>
      <w:r>
        <w:rPr>
          <w:rFonts w:ascii="微软雅黑" w:hAnsi="微软雅黑" w:eastAsia="微软雅黑" w:cs="微软雅黑" w:hint="eastAsia"/>
          <w:b/>
          <w:color w:val="1A237E"/>
          <w:sz w:val="26"/>
          <w:lang w:eastAsia="zh-CN"/>
        </w:rPr>
        <w:t>一、项目概述</w:t>
      </w:r>
      <w:bookmarkEnd w:id="12"/>
    </w:p>
    <w:p>
      <w:pPr>
        <w:jc w:val="both"/>
      </w:pPr>
      <w:r>
        <w:rPr>
          <w:rFonts w:ascii="微软雅黑" w:eastAsia="微软雅黑" w:hAnsi="微软雅黑" w:cs="微软雅黑" w:hint="eastAsia"/>
          <w:sz w:val="20"/>
          <w:lang w:eastAsia="zh-CN"/>
        </w:rPr>
        <w:t>本章说明项目定位、所解决的核心问题、产品与商业模式概览，以及三年发展目标。</w:t>
      </w:r>
    </w:p>
    <w:p>
      <w:pPr>
        <w:pStyle w:val="Heading3"/>
        <w:spacing w:line="300" w:lineRule="auto"/>
      </w:pPr>
      <w:r>
        <w:rPr>
          <w:rFonts w:ascii="微软雅黑" w:hAnsi="微软雅黑" w:eastAsia="微软雅黑" w:cs="微软雅黑" w:hint="eastAsia"/>
          <w:b/>
          <w:color w:val="1565C0"/>
          <w:sz w:val="22"/>
          <w:lang w:eastAsia="zh-CN"/>
        </w:rPr>
        <w:t>1.1 一句话定位</w:t>
      </w:r>
    </w:p>
    <w:p>
      <w:pPr>
        <w:jc w:val="both"/>
      </w:pPr>
      <w:r>
        <w:rPr>
          <w:rFonts w:ascii="微软雅黑" w:eastAsia="微软雅黑" w:hAnsi="微软雅黑" w:cs="微软雅黑" w:hint="eastAsia"/>
          <w:sz w:val="20"/>
          <w:lang w:eastAsia="zh-CN"/>
        </w:rPr>
        <w:t>「桩」点北邮是一套面向高校与公共机构的</w:t>
      </w:r>
      <w:r>
        <w:rPr>
          <w:rFonts w:ascii="微软雅黑" w:eastAsia="微软雅黑" w:hAnsi="微软雅黑" w:cs="微软雅黑" w:hint="eastAsia"/>
          <w:b/>
          <w:sz w:val="20"/>
          <w:lang w:eastAsia="zh-CN"/>
        </w:rPr>
        <w:t>充电车位智能监管系统</w:t>
      </w:r>
      <w:r>
        <w:rPr>
          <w:rFonts w:ascii="微软雅黑" w:eastAsia="微软雅黑" w:hAnsi="微软雅黑" w:cs="微软雅黑" w:hint="eastAsia"/>
          <w:sz w:val="20"/>
          <w:lang w:eastAsia="zh-CN"/>
        </w:rPr>
        <w:t>。系统以摄像头识别车辆与车牌，将识别结果与充电桩状态融合，自动判定</w:t>
      </w:r>
      <w:r>
        <w:rPr>
          <w:sz w:val="20"/>
        </w:rPr>
        <w:t>"</w:t>
      </w:r>
      <w:r>
        <w:rPr>
          <w:rFonts w:ascii="微软雅黑" w:eastAsia="微软雅黑" w:hAnsi="微软雅黑" w:cs="微软雅黑" w:hint="eastAsia"/>
          <w:sz w:val="20"/>
          <w:lang w:eastAsia="zh-CN"/>
        </w:rPr>
        <w:t>燃油车占位</w:t>
      </w:r>
      <w:r>
        <w:rPr>
          <w:sz w:val="20"/>
        </w:rPr>
        <w:t>""</w:t>
      </w:r>
      <w:r>
        <w:rPr>
          <w:rFonts w:ascii="微软雅黑" w:eastAsia="微软雅黑" w:hAnsi="微软雅黑" w:cs="微软雅黑" w:hint="eastAsia"/>
          <w:sz w:val="20"/>
          <w:lang w:eastAsia="zh-CN"/>
        </w:rPr>
        <w:t>异常占位</w:t>
      </w:r>
      <w:r>
        <w:rPr>
          <w:sz w:val="20"/>
        </w:rPr>
        <w:t>""</w:t>
      </w:r>
      <w:r>
        <w:rPr>
          <w:rFonts w:ascii="微软雅黑" w:eastAsia="微软雅黑" w:hAnsi="微软雅黑" w:cs="微软雅黑" w:hint="eastAsia"/>
          <w:sz w:val="20"/>
          <w:lang w:eastAsia="zh-CN"/>
        </w:rPr>
        <w:t>充满未移车</w:t>
      </w:r>
      <w:r>
        <w:rPr>
          <w:sz w:val="20"/>
        </w:rPr>
        <w:t>"</w:t>
      </w:r>
      <w:r>
        <w:rPr>
          <w:rFonts w:ascii="微软雅黑" w:eastAsia="微软雅黑" w:hAnsi="微软雅黑" w:cs="微软雅黑" w:hint="eastAsia"/>
          <w:sz w:val="20"/>
          <w:lang w:eastAsia="zh-CN"/>
        </w:rPr>
        <w:t>三类违规；命中违规即短信提醒车主，并结构化落库，供管理方在后台查询、统计与考核。</w:t>
      </w:r>
    </w:p>
    <w:p>
      <w:pPr>
        <w:pStyle w:val="Heading3"/>
        <w:spacing w:line="300" w:lineRule="auto"/>
      </w:pPr>
      <w:r>
        <w:rPr>
          <w:rFonts w:ascii="微软雅黑" w:hAnsi="微软雅黑" w:eastAsia="微软雅黑" w:cs="微软雅黑" w:hint="eastAsia"/>
          <w:b/>
          <w:color w:val="1565C0"/>
          <w:sz w:val="22"/>
          <w:lang w:eastAsia="zh-CN"/>
        </w:rPr>
        <w:t>1.2 我们解决的真实问题</w:t>
      </w:r>
    </w:p>
    <w:p>
      <w:pPr>
        <w:jc w:val="both"/>
      </w:pPr>
      <w:r>
        <w:rPr>
          <w:rFonts w:ascii="微软雅黑" w:eastAsia="微软雅黑" w:hAnsi="微软雅黑" w:cs="微软雅黑" w:hint="eastAsia"/>
          <w:sz w:val="20"/>
          <w:lang w:eastAsia="zh-CN"/>
        </w:rPr>
        <w:t>新能源汽车在校园与公共机构快速普及，但充电车位长期面临两类</w:t>
      </w:r>
      <w:r>
        <w:rPr>
          <w:sz w:val="20"/>
        </w:rPr>
        <w:t>"</w:t>
      </w:r>
      <w:r>
        <w:rPr>
          <w:rFonts w:ascii="微软雅黑" w:eastAsia="微软雅黑" w:hAnsi="微软雅黑" w:cs="微软雅黑" w:hint="eastAsia"/>
          <w:sz w:val="20"/>
          <w:lang w:eastAsia="zh-CN"/>
        </w:rPr>
        <w:t>看不见的浪费</w:t>
      </w:r>
      <w:r>
        <w:rPr>
          <w:sz w:val="20"/>
        </w:rPr>
        <w:t>"</w:t>
      </w:r>
      <w:r>
        <w:rPr>
          <w:rFonts w:ascii="微软雅黑" w:eastAsia="微软雅黑" w:hAnsi="微软雅黑" w:cs="微软雅黑" w:hint="eastAsia"/>
          <w:sz w:val="20"/>
          <w:lang w:eastAsia="zh-CN"/>
        </w:rPr>
        <w:t>：</w:t>
      </w:r>
    </w:p>
    <w:p>
      <w:pPr>
        <w:pStyle w:val="ListBullet"/>
        <w:spacing w:after="60"/>
        <w:jc w:val="both"/>
      </w:pPr>
      <w:r>
        <w:rPr>
          <w:rFonts w:ascii="微软雅黑" w:eastAsia="微软雅黑" w:hAnsi="微软雅黑" w:cs="微软雅黑" w:hint="eastAsia"/>
          <w:b/>
          <w:sz w:val="20"/>
          <w:lang w:eastAsia="zh-CN"/>
        </w:rPr>
        <w:t>燃油车占用充电车位</w:t>
      </w:r>
      <w:r>
        <w:rPr>
          <w:sz w:val="20"/>
        </w:rPr>
        <w:t>——</w:t>
      </w:r>
      <w:r>
        <w:rPr>
          <w:rFonts w:ascii="微软雅黑" w:eastAsia="微软雅黑" w:hAnsi="微软雅黑" w:cs="微软雅黑" w:hint="eastAsia"/>
          <w:sz w:val="20"/>
          <w:lang w:eastAsia="zh-CN"/>
        </w:rPr>
        <w:t>蓝牌车辆停在充电位上，新能源车到了却充不上；</w:t>
      </w:r>
    </w:p>
    <w:p>
      <w:pPr>
        <w:pStyle w:val="ListBullet"/>
        <w:spacing w:after="60"/>
        <w:jc w:val="both"/>
      </w:pPr>
      <w:r>
        <w:rPr>
          <w:rFonts w:ascii="微软雅黑" w:eastAsia="微软雅黑" w:hAnsi="微软雅黑" w:cs="微软雅黑" w:hint="eastAsia"/>
          <w:b/>
          <w:sz w:val="20"/>
          <w:lang w:eastAsia="zh-CN"/>
        </w:rPr>
        <w:t>新能源车"充满未移车"</w:t>
      </w:r>
      <w:r>
        <w:rPr>
          <w:sz w:val="20"/>
        </w:rPr>
        <w:t>——</w:t>
      </w:r>
      <w:r>
        <w:rPr>
          <w:rFonts w:ascii="微软雅黑" w:eastAsia="微软雅黑" w:hAnsi="微软雅黑" w:cs="微软雅黑" w:hint="eastAsia"/>
          <w:sz w:val="20"/>
          <w:lang w:eastAsia="zh-CN"/>
        </w:rPr>
        <w:t>电早已充满，车却长时间不动，把公共资源当成私人车位。</w:t>
      </w:r>
    </w:p>
    <w:p>
      <w:pPr>
        <w:jc w:val="both"/>
      </w:pPr>
      <w:r>
        <w:rPr>
          <w:rFonts w:ascii="微软雅黑" w:eastAsia="微软雅黑" w:hAnsi="微软雅黑" w:cs="微软雅黑" w:hint="eastAsia"/>
          <w:sz w:val="20"/>
          <w:lang w:eastAsia="zh-CN"/>
        </w:rPr>
        <w:t>这两类问题长期依靠人工巡查处理，效率低、发现不及时、难以留痕。更关键的是，</w:t>
      </w:r>
      <w:r>
        <w:rPr>
          <w:rFonts w:ascii="微软雅黑" w:eastAsia="微软雅黑" w:hAnsi="微软雅黑" w:cs="微软雅黑" w:hint="eastAsia"/>
          <w:b/>
          <w:sz w:val="20"/>
          <w:lang w:eastAsia="zh-CN"/>
        </w:rPr>
        <w:t>"充满未移车"无法用单一手段识别</w:t>
      </w:r>
      <w:r>
        <w:rPr>
          <w:rFonts w:ascii="微软雅黑" w:eastAsia="微软雅黑" w:hAnsi="微软雅黑" w:cs="微软雅黑" w:hint="eastAsia"/>
          <w:sz w:val="20"/>
          <w:lang w:eastAsia="zh-CN"/>
        </w:rPr>
        <w:t>：只看图像无法判断车是否在充电，只看充电桩数据无法判断车位被谁占用。这正是现有方案普遍失效的地方，也是本项目的立足点。</w:t>
      </w:r>
    </w:p>
    <w:p>
      <w:pPr>
        <w:pStyle w:val="Heading3"/>
        <w:spacing w:line="300" w:lineRule="auto"/>
      </w:pPr>
      <w:r>
        <w:rPr>
          <w:rFonts w:ascii="微软雅黑" w:hAnsi="微软雅黑" w:eastAsia="微软雅黑" w:cs="微软雅黑" w:hint="eastAsia"/>
          <w:b/>
          <w:color w:val="1565C0"/>
          <w:sz w:val="22"/>
          <w:lang w:eastAsia="zh-CN"/>
        </w:rPr>
        <w:t>1.3 产品与商业模式概览</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维度</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内容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产品形态</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软件为主、硬件可选：部署在客户已有摄像头与服务器上；无算力时加配边缘计算盒</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核心能力</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车辆检测、车牌识别（号码</w:t>
            </w:r>
            <w:r>
              <w:rPr>
                <w:color w:val="212121"/>
                <w:sz w:val="16"/>
              </w:rPr>
              <w:t xml:space="preserve"> </w:t>
            </w:r>
            <w:r>
              <w:rPr>
                <w:color w:val="212121"/>
                <w:sz w:val="16"/>
              </w:rPr>
              <w:t xml:space="preserve"> + </w:t>
            </w:r>
            <w:r>
              <w:rPr>
                <w:color w:val="212121"/>
                <w:sz w:val="16"/>
              </w:rPr>
              <w:t xml:space="preserve"> </w:t>
            </w:r>
            <w:r>
              <w:rPr>
                <w:color w:val="212121"/>
                <w:sz w:val="16"/>
              </w:rPr>
              <w:t>底色判型）、充电状态融合、四规则判定、短信提醒、六页管理后台</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客户对象</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高校后勤与校园充电设施管理部门、党政机关与公立医院等公共机构后勤部门、园区写字楼运营方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收入模式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一次性平台部署费</w:t>
            </w:r>
            <w:r>
              <w:rPr>
                <w:color w:val="212121"/>
                <w:sz w:val="16"/>
              </w:rPr>
              <w:t xml:space="preserve"> </w:t>
            </w:r>
            <w:r>
              <w:rPr>
                <w:color w:val="212121"/>
                <w:sz w:val="16"/>
              </w:rPr>
              <w:t xml:space="preserve"> + </w:t>
            </w:r>
            <w:r>
              <w:rPr>
                <w:color w:val="212121"/>
                <w:sz w:val="16"/>
              </w:rPr>
              <w:t xml:space="preserve"> </w:t>
            </w:r>
            <w:r>
              <w:rPr>
                <w:color w:val="212121"/>
                <w:sz w:val="16"/>
              </w:rPr>
              <w:t>按监管车位计费的年度授权费</w:t>
            </w:r>
            <w:r>
              <w:rPr>
                <w:color w:val="212121"/>
                <w:sz w:val="16"/>
              </w:rPr>
              <w:t xml:space="preserve"> </w:t>
            </w:r>
            <w:r>
              <w:rPr>
                <w:color w:val="212121"/>
                <w:sz w:val="16"/>
              </w:rPr>
              <w:t xml:space="preserve"> + </w:t>
            </w:r>
            <w:r>
              <w:rPr>
                <w:color w:val="212121"/>
                <w:sz w:val="16"/>
              </w:rPr>
              <w:t xml:space="preserve"> </w:t>
            </w:r>
            <w:r>
              <w:rPr>
                <w:color w:val="212121"/>
                <w:sz w:val="16"/>
              </w:rPr>
              <w:t>短信通道费</w:t>
            </w:r>
            <w:r>
              <w:rPr>
                <w:color w:val="212121"/>
                <w:sz w:val="16"/>
              </w:rPr>
              <w:t xml:space="preserve"> </w:t>
            </w:r>
            <w:r>
              <w:rPr>
                <w:color w:val="212121"/>
                <w:sz w:val="16"/>
              </w:rPr>
              <w:t xml:space="preserve"> + </w:t>
            </w:r>
            <w:r>
              <w:rPr>
                <w:color w:val="212121"/>
                <w:sz w:val="16"/>
              </w:rPr>
              <w:t xml:space="preserve"> </w:t>
            </w:r>
            <w:r>
              <w:rPr>
                <w:color w:val="212121"/>
                <w:sz w:val="16"/>
              </w:rPr>
              <w:t>可选增值模块</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交付方式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远程部署为主、现场适配为辅；先做示范场站形成可复制模板，再按场站复制推广</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技术栈</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FastAPI</w:t>
            </w:r>
            <w:r>
              <w:rPr>
                <w:color w:val="212121"/>
                <w:sz w:val="16"/>
              </w:rPr>
              <w:t xml:space="preserve"> </w:t>
            </w:r>
            <w:r>
              <w:rPr>
                <w:color w:val="212121"/>
                <w:sz w:val="16"/>
              </w:rPr>
              <w:t>（</w:t>
            </w:r>
            <w:r>
              <w:rPr>
                <w:color w:val="212121"/>
                <w:sz w:val="16"/>
              </w:rPr>
              <w:t xml:space="preserve"> </w:t>
            </w:r>
            <w:r>
              <w:rPr>
                <w:color w:val="212121"/>
                <w:sz w:val="16"/>
              </w:rPr>
              <w:t>Python</w:t>
            </w:r>
            <w:r>
              <w:rPr>
                <w:color w:val="212121"/>
                <w:sz w:val="16"/>
              </w:rPr>
              <w:t xml:space="preserve"> </w:t>
            </w:r>
            <w:r>
              <w:rPr>
                <w:color w:val="212121"/>
                <w:sz w:val="16"/>
              </w:rPr>
              <w:t>）</w:t>
            </w:r>
            <w:r>
              <w:rPr>
                <w:color w:val="212121"/>
                <w:sz w:val="16"/>
              </w:rPr>
              <w:t xml:space="preserve"> </w:t>
            </w:r>
            <w:r>
              <w:rPr>
                <w:color w:val="212121"/>
                <w:sz w:val="16"/>
              </w:rPr>
              <w:t>+ Vue 3 + MySQL 8 + YOLOv8 + HyperLPR</w:t>
            </w:r>
            <w:r>
              <w:rPr>
                <w:color w:val="212121"/>
                <w:sz w:val="16"/>
              </w:rPr>
              <w:t xml:space="preserve"> </w:t>
            </w:r>
            <w:r>
              <w:rPr>
                <w:color w:val="212121"/>
                <w:sz w:val="16"/>
              </w:rPr>
              <w:t>，充电状态模拟并预留</w:t>
            </w:r>
            <w:r>
              <w:rPr>
                <w:color w:val="212121"/>
                <w:sz w:val="16"/>
              </w:rPr>
              <w:t xml:space="preserve"> </w:t>
            </w:r>
            <w:r>
              <w:rPr>
                <w:color w:val="212121"/>
                <w:sz w:val="16"/>
              </w:rPr>
              <w:t xml:space="preserve"> OCPP </w:t>
            </w:r>
            <w:r>
              <w:rPr>
                <w:color w:val="212121"/>
                <w:sz w:val="16"/>
              </w:rPr>
              <w:t xml:space="preserve"> </w:t>
            </w:r>
            <w:r>
              <w:rPr>
                <w:color w:val="212121"/>
                <w:sz w:val="16"/>
              </w:rPr>
              <w:t>适配层</w:t>
            </w:r>
          </w:p>
        </w:tc>
      </w:tr>
    </w:tbl>
    <w:p>
      <w:pPr>
        <w:pStyle w:val="Heading3"/>
        <w:spacing w:line="300" w:lineRule="auto"/>
      </w:pPr>
      <w:r>
        <w:rPr>
          <w:rFonts w:ascii="微软雅黑" w:hAnsi="微软雅黑" w:eastAsia="微软雅黑" w:cs="微软雅黑" w:hint="eastAsia"/>
          <w:b/>
          <w:color w:val="1565C0"/>
          <w:sz w:val="22"/>
          <w:lang w:eastAsia="zh-CN"/>
        </w:rPr>
        <w:t>1.4 三条核心竞争优势</w:t>
      </w:r>
    </w:p>
    <w:p>
      <w:pPr>
        <w:pStyle w:val="ListNumber"/>
        <w:numPr>
          <w:ilvl w:val="0"/>
          <w:numId w:val="10"/>
        </w:numPr>
        <w:spacing w:after="60"/>
        <w:jc w:val="both"/>
      </w:pPr>
      <w:r>
        <w:rPr>
          <w:rFonts w:ascii="微软雅黑" w:eastAsia="微软雅黑" w:hAnsi="微软雅黑" w:cs="微软雅黑" w:hint="eastAsia"/>
          <w:b/>
          <w:sz w:val="20"/>
          <w:lang w:eastAsia="zh-CN"/>
        </w:rPr>
        <w:t>唯一能识别"充满未移车"的技术路径</w:t>
      </w:r>
      <w:r>
        <w:rPr>
          <w:rFonts w:ascii="微软雅黑" w:eastAsia="微软雅黑" w:hAnsi="微软雅黑" w:cs="微软雅黑" w:hint="eastAsia"/>
          <w:sz w:val="20"/>
          <w:lang w:eastAsia="zh-CN"/>
        </w:rPr>
        <w:t>。判定</w:t>
      </w:r>
      <w:r>
        <w:rPr>
          <w:sz w:val="20"/>
        </w:rPr>
        <w:t>"</w:t>
      </w:r>
      <w:r>
        <w:rPr>
          <w:rFonts w:ascii="微软雅黑" w:eastAsia="微软雅黑" w:hAnsi="微软雅黑" w:cs="微软雅黑" w:hint="eastAsia"/>
          <w:sz w:val="20"/>
          <w:lang w:eastAsia="zh-CN"/>
        </w:rPr>
        <w:t>充满未移车</w:t>
      </w:r>
      <w:r>
        <w:rPr>
          <w:sz w:val="20"/>
        </w:rPr>
        <w:t>"</w:t>
      </w:r>
      <w:r>
        <w:rPr>
          <w:rFonts w:ascii="微软雅黑" w:eastAsia="微软雅黑" w:hAnsi="微软雅黑" w:cs="微软雅黑" w:hint="eastAsia"/>
          <w:sz w:val="20"/>
          <w:lang w:eastAsia="zh-CN"/>
        </w:rPr>
        <w:t>必须同时知道</w:t>
      </w:r>
      <w:r>
        <w:rPr>
          <w:sz w:val="20"/>
        </w:rPr>
        <w:t>"</w:t>
      </w:r>
      <w:r>
        <w:rPr>
          <w:rFonts w:ascii="微软雅黑" w:eastAsia="微软雅黑" w:hAnsi="微软雅黑" w:cs="微软雅黑" w:hint="eastAsia"/>
          <w:sz w:val="20"/>
          <w:lang w:eastAsia="zh-CN"/>
        </w:rPr>
        <w:t>车是谁的车</w:t>
      </w:r>
      <w:r>
        <w:rPr>
          <w:sz w:val="20"/>
        </w:rPr>
        <w:t>"</w:t>
      </w:r>
      <w:r>
        <w:rPr>
          <w:rFonts w:ascii="微软雅黑" w:eastAsia="微软雅黑" w:hAnsi="微软雅黑" w:cs="微软雅黑" w:hint="eastAsia"/>
          <w:sz w:val="20"/>
          <w:lang w:eastAsia="zh-CN"/>
        </w:rPr>
        <w:t>和</w:t>
      </w:r>
      <w:r>
        <w:rPr>
          <w:sz w:val="20"/>
        </w:rPr>
        <w:t>"</w:t>
      </w:r>
      <w:r>
        <w:rPr>
          <w:rFonts w:ascii="微软雅黑" w:eastAsia="微软雅黑" w:hAnsi="微软雅黑" w:cs="微软雅黑" w:hint="eastAsia"/>
          <w:sz w:val="20"/>
          <w:lang w:eastAsia="zh-CN"/>
        </w:rPr>
        <w:t>桩在不在充电</w:t>
      </w:r>
      <w:r>
        <w:rPr>
          <w:sz w:val="20"/>
        </w:rPr>
        <w:t>"</w:t>
      </w:r>
      <w:r>
        <w:rPr>
          <w:rFonts w:ascii="微软雅黑" w:eastAsia="微软雅黑" w:hAnsi="微软雅黑" w:cs="微软雅黑" w:hint="eastAsia"/>
          <w:sz w:val="20"/>
          <w:lang w:eastAsia="zh-CN"/>
        </w:rPr>
        <w:t>。只有视觉识别与设备状态融合才能拿到这两个条件，单一技术路线都无法覆盖这一状态。</w:t>
      </w:r>
    </w:p>
    <w:p>
      <w:pPr>
        <w:pStyle w:val="ListNumber"/>
        <w:numPr>
          <w:ilvl w:val="0"/>
          <w:numId w:val="10"/>
        </w:numPr>
        <w:spacing w:after="60"/>
        <w:jc w:val="both"/>
      </w:pPr>
      <w:r>
        <w:rPr>
          <w:rFonts w:ascii="微软雅黑" w:eastAsia="微软雅黑" w:hAnsi="微软雅黑" w:cs="微软雅黑" w:hint="eastAsia"/>
          <w:b/>
          <w:sz w:val="20"/>
          <w:lang w:eastAsia="zh-CN"/>
        </w:rPr>
        <w:t>政策窗口明确、需求刚性</w:t>
      </w:r>
      <w:r>
        <w:rPr>
          <w:rFonts w:ascii="微软雅黑" w:eastAsia="微软雅黑" w:hAnsi="微软雅黑" w:cs="微软雅黑" w:hint="eastAsia"/>
          <w:sz w:val="20"/>
          <w:lang w:eastAsia="zh-CN"/>
        </w:rPr>
        <w:t>。国家标准</w:t>
      </w:r>
      <w:r>
        <w:rPr>
          <w:sz w:val="20"/>
        </w:rPr>
        <w:t xml:space="preserve"> JS/T 302—2026 </w:t>
      </w:r>
      <w:r>
        <w:rPr>
          <w:rFonts w:ascii="微软雅黑" w:eastAsia="微软雅黑" w:hAnsi="微软雅黑" w:cs="微软雅黑" w:hint="eastAsia"/>
          <w:sz w:val="20"/>
          <w:lang w:eastAsia="zh-CN"/>
        </w:rPr>
        <w:t>自</w:t>
      </w:r>
      <w:r>
        <w:rPr>
          <w:sz w:val="20"/>
        </w:rPr>
        <w:t xml:space="preserve"> 2026 </w:t>
      </w:r>
      <w:r>
        <w:rPr>
          <w:rFonts w:ascii="微软雅黑" w:eastAsia="微软雅黑" w:hAnsi="微软雅黑" w:cs="微软雅黑" w:hint="eastAsia"/>
          <w:sz w:val="20"/>
          <w:lang w:eastAsia="zh-CN"/>
        </w:rPr>
        <w:t>年</w:t>
      </w:r>
      <w:r>
        <w:rPr>
          <w:sz w:val="20"/>
        </w:rPr>
        <w:t xml:space="preserve"> 3 </w:t>
      </w:r>
      <w:r>
        <w:rPr>
          <w:rFonts w:ascii="微软雅黑" w:eastAsia="微软雅黑" w:hAnsi="微软雅黑" w:cs="微软雅黑" w:hint="eastAsia"/>
          <w:sz w:val="20"/>
          <w:lang w:eastAsia="zh-CN"/>
        </w:rPr>
        <w:t>月</w:t>
      </w:r>
      <w:r>
        <w:rPr>
          <w:sz w:val="20"/>
        </w:rPr>
        <w:t xml:space="preserve"> 1 </w:t>
      </w:r>
      <w:r>
        <w:rPr>
          <w:rFonts w:ascii="微软雅黑" w:eastAsia="微软雅黑" w:hAnsi="微软雅黑" w:cs="微软雅黑" w:hint="eastAsia"/>
          <w:sz w:val="20"/>
          <w:lang w:eastAsia="zh-CN"/>
        </w:rPr>
        <w:t>日起实施，强制公共机构停车场充电车位配建比例不低于总车位</w:t>
      </w:r>
      <w:r>
        <w:rPr>
          <w:sz w:val="20"/>
        </w:rPr>
        <w:t xml:space="preserve"> 25%</w:t>
      </w:r>
      <w:r>
        <w:rPr>
          <w:rFonts w:ascii="微软雅黑" w:eastAsia="微软雅黑" w:hAnsi="微软雅黑" w:cs="微软雅黑" w:hint="eastAsia"/>
          <w:sz w:val="20"/>
          <w:lang w:eastAsia="zh-CN"/>
        </w:rPr>
        <w:t>，并鼓励面向社会共享开放。车位数量会成规模增长，</w:t>
      </w:r>
      <w:r>
        <w:rPr>
          <w:sz w:val="20"/>
        </w:rPr>
        <w:t>"</w:t>
      </w:r>
      <w:r>
        <w:rPr>
          <w:rFonts w:ascii="微软雅黑" w:eastAsia="微软雅黑" w:hAnsi="微软雅黑" w:cs="微软雅黑" w:hint="eastAsia"/>
          <w:sz w:val="20"/>
          <w:lang w:eastAsia="zh-CN"/>
        </w:rPr>
        <w:t>怎么管</w:t>
      </w:r>
      <w:r>
        <w:rPr>
          <w:sz w:val="20"/>
        </w:rPr>
        <w:t>"</w:t>
      </w:r>
      <w:r>
        <w:rPr>
          <w:rFonts w:ascii="微软雅黑" w:eastAsia="微软雅黑" w:hAnsi="微软雅黑" w:cs="微软雅黑" w:hint="eastAsia"/>
          <w:sz w:val="20"/>
          <w:lang w:eastAsia="zh-CN"/>
        </w:rPr>
        <w:t>随即成为必须回答的问题。</w:t>
      </w:r>
    </w:p>
    <w:p>
      <w:pPr>
        <w:pStyle w:val="ListNumber"/>
        <w:numPr>
          <w:ilvl w:val="0"/>
          <w:numId w:val="10"/>
        </w:numPr>
        <w:spacing w:after="60"/>
        <w:jc w:val="both"/>
      </w:pPr>
      <w:r>
        <w:rPr>
          <w:rFonts w:ascii="微软雅黑" w:eastAsia="微软雅黑" w:hAnsi="微软雅黑" w:cs="微软雅黑" w:hint="eastAsia"/>
          <w:b/>
          <w:sz w:val="20"/>
          <w:lang w:eastAsia="zh-CN"/>
        </w:rPr>
        <w:t>交付成本低、可复制性强</w:t>
      </w:r>
      <w:r>
        <w:rPr>
          <w:rFonts w:ascii="微软雅黑" w:eastAsia="微软雅黑" w:hAnsi="微软雅黑" w:cs="微软雅黑" w:hint="eastAsia"/>
          <w:sz w:val="20"/>
          <w:lang w:eastAsia="zh-CN"/>
        </w:rPr>
        <w:t>。系统优先复用客户既有的摄像头与服务器，走软件部署而非硬件改造，单场站交付的边际成本低；复制到新校区时主要工作是场景适配，不需要重做硬件工程。</w:t>
      </w:r>
    </w:p>
    <w:p>
      <w:pPr>
        <w:pStyle w:val="Heading3"/>
        <w:spacing w:line="300" w:lineRule="auto"/>
      </w:pPr>
      <w:r>
        <w:rPr>
          <w:rFonts w:ascii="微软雅黑" w:hAnsi="微软雅黑" w:eastAsia="微软雅黑" w:cs="微软雅黑" w:hint="eastAsia"/>
          <w:b/>
          <w:color w:val="1565C0"/>
          <w:sz w:val="22"/>
          <w:lang w:eastAsia="zh-CN"/>
        </w:rPr>
        <w:t>1.5 三年发展目标（财务口径）</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年度</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目标</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1 </w:t>
            </w:r>
            <w:r>
              <w:rPr>
                <w:color w:val="212121"/>
                <w:sz w:val="16"/>
              </w:rPr>
              <w:t xml:space="preserve"> </w:t>
            </w:r>
            <w:r>
              <w:rPr>
                <w:color w:val="212121"/>
                <w:sz w:val="16"/>
              </w:rPr>
              <w:t>年</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完成校内示范场站落地，形成可对外演示的完整闭环；取得首批</w:t>
            </w:r>
            <w:r>
              <w:rPr>
                <w:color w:val="212121"/>
                <w:sz w:val="16"/>
              </w:rPr>
              <w:t xml:space="preserve"> </w:t>
            </w:r>
            <w:r>
              <w:rPr>
                <w:color w:val="212121"/>
                <w:sz w:val="16"/>
              </w:rPr>
              <w:t xml:space="preserve"> 4 </w:t>
            </w:r>
            <w:r>
              <w:rPr>
                <w:color w:val="212121"/>
                <w:sz w:val="16"/>
              </w:rPr>
              <w:t xml:space="preserve"> </w:t>
            </w:r>
            <w:r>
              <w:rPr>
                <w:color w:val="212121"/>
                <w:sz w:val="16"/>
              </w:rPr>
              <w:t>个场站合同（含</w:t>
            </w:r>
            <w:r>
              <w:rPr>
                <w:color w:val="212121"/>
                <w:sz w:val="16"/>
              </w:rPr>
              <w:t xml:space="preserve"> </w:t>
            </w:r>
            <w:r>
              <w:rPr>
                <w:color w:val="212121"/>
                <w:sz w:val="16"/>
              </w:rPr>
              <w:t xml:space="preserve"> 1 </w:t>
            </w:r>
            <w:r>
              <w:rPr>
                <w:color w:val="212121"/>
                <w:sz w:val="16"/>
              </w:rPr>
              <w:t xml:space="preserve"> </w:t>
            </w:r>
            <w:r>
              <w:rPr>
                <w:color w:val="212121"/>
                <w:sz w:val="16"/>
              </w:rPr>
              <w:t>个示范点）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2 </w:t>
            </w:r>
            <w:r>
              <w:rPr>
                <w:color w:val="212121"/>
                <w:sz w:val="16"/>
              </w:rPr>
              <w:t xml:space="preserve"> </w:t>
            </w:r>
            <w:r>
              <w:rPr>
                <w:color w:val="212121"/>
                <w:sz w:val="16"/>
              </w:rPr>
              <w:t>年</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进入北京地区高校与公共机构市场，期末存量</w:t>
            </w:r>
            <w:r>
              <w:rPr>
                <w:color w:val="212121"/>
                <w:sz w:val="16"/>
              </w:rPr>
              <w:t xml:space="preserve"> </w:t>
            </w:r>
            <w:r>
              <w:rPr>
                <w:color w:val="212121"/>
                <w:sz w:val="16"/>
              </w:rPr>
              <w:t xml:space="preserve"> 16 </w:t>
            </w:r>
            <w:r>
              <w:rPr>
                <w:color w:val="212121"/>
                <w:sz w:val="16"/>
              </w:rPr>
              <w:t xml:space="preserve"> </w:t>
            </w:r>
            <w:r>
              <w:rPr>
                <w:color w:val="212121"/>
                <w:sz w:val="16"/>
              </w:rPr>
              <w:t>个场站；完成商业许可合规改造</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3 </w:t>
            </w:r>
            <w:r>
              <w:rPr>
                <w:color w:val="212121"/>
                <w:sz w:val="16"/>
              </w:rPr>
              <w:t xml:space="preserve"> </w:t>
            </w:r>
            <w:r>
              <w:rPr>
                <w:color w:val="212121"/>
                <w:sz w:val="16"/>
              </w:rPr>
              <w:t>年</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期末存量</w:t>
            </w:r>
            <w:r>
              <w:rPr>
                <w:color w:val="212121"/>
                <w:sz w:val="16"/>
              </w:rPr>
              <w:t xml:space="preserve"> </w:t>
            </w:r>
            <w:r>
              <w:rPr>
                <w:color w:val="212121"/>
                <w:sz w:val="16"/>
              </w:rPr>
              <w:t xml:space="preserve"> 41 </w:t>
            </w:r>
            <w:r>
              <w:rPr>
                <w:color w:val="212121"/>
                <w:sz w:val="16"/>
              </w:rPr>
              <w:t xml:space="preserve"> </w:t>
            </w:r>
            <w:r>
              <w:rPr>
                <w:color w:val="212121"/>
                <w:sz w:val="16"/>
              </w:rPr>
              <w:t>个场站，年收入约</w:t>
            </w:r>
            <w:r>
              <w:rPr>
                <w:color w:val="212121"/>
                <w:sz w:val="16"/>
              </w:rPr>
              <w:t xml:space="preserve"> </w:t>
            </w:r>
            <w:r>
              <w:rPr>
                <w:color w:val="212121"/>
                <w:sz w:val="16"/>
              </w:rPr>
              <w:t xml:space="preserve"> 140.6 </w:t>
            </w:r>
            <w:r>
              <w:rPr>
                <w:color w:val="212121"/>
                <w:sz w:val="16"/>
              </w:rPr>
              <w:t xml:space="preserve"> </w:t>
            </w:r>
            <w:r>
              <w:rPr>
                <w:color w:val="212121"/>
                <w:sz w:val="16"/>
              </w:rPr>
              <w:t>万元，续费收入占比约</w:t>
            </w:r>
            <w:r>
              <w:rPr>
                <w:color w:val="212121"/>
                <w:sz w:val="16"/>
              </w:rPr>
              <w:t xml:space="preserve"> </w:t>
            </w:r>
            <w:r>
              <w:rPr>
                <w:color w:val="212121"/>
                <w:sz w:val="16"/>
              </w:rPr>
              <w:t xml:space="preserve"> 18%</w:t>
            </w:r>
          </w:p>
        </w:tc>
      </w:tr>
    </w:tbl>
    <w:p>
      <w:bookmarkStart w:id="13" w:name="_Toc_section_2"/>
      <w:bookmarkStart w:id="1" w:name="section-2"/>
      <w:pPr>
        <w:pStyle w:val="Heading2"/>
        <w:spacing w:line="300" w:lineRule="auto"/>
      </w:pPr>
      <w:bookmarkEnd w:id="1"/>
      <w:r>
        <w:rPr>
          <w:rFonts w:ascii="微软雅黑" w:hAnsi="微软雅黑" w:eastAsia="微软雅黑" w:cs="微软雅黑" w:hint="eastAsia"/>
          <w:b/>
          <w:color w:val="1A237E"/>
          <w:sz w:val="26"/>
          <w:lang w:eastAsia="zh-CN"/>
        </w:rPr>
        <w:t>二、市场与需求分析</w:t>
      </w:r>
      <w:bookmarkEnd w:id="13"/>
    </w:p>
    <w:p>
      <w:pPr>
        <w:jc w:val="both"/>
      </w:pPr>
      <w:r>
        <w:rPr>
          <w:rFonts w:ascii="微软雅黑" w:eastAsia="微软雅黑" w:hAnsi="微软雅黑" w:cs="微软雅黑" w:hint="eastAsia"/>
          <w:sz w:val="20"/>
          <w:lang w:eastAsia="zh-CN"/>
        </w:rPr>
        <w:t>本章从政策、设施存量、用户痛点与客户画像四个角度，说明需求从何而来、规模有多大。</w:t>
      </w:r>
    </w:p>
    <w:p>
      <w:pPr>
        <w:pStyle w:val="Heading3"/>
        <w:spacing w:line="300" w:lineRule="auto"/>
      </w:pPr>
      <w:r>
        <w:rPr>
          <w:rFonts w:ascii="微软雅黑" w:hAnsi="微软雅黑" w:eastAsia="微软雅黑" w:cs="微软雅黑" w:hint="eastAsia"/>
          <w:b/>
          <w:color w:val="1565C0"/>
          <w:sz w:val="22"/>
          <w:lang w:eastAsia="zh-CN"/>
        </w:rPr>
        <w:t>2.1 政策驱动：公共机构充电设施进入强制配建期</w:t>
      </w:r>
    </w:p>
    <w:p>
      <w:pPr>
        <w:jc w:val="both"/>
      </w:pPr>
      <w:r>
        <w:rPr>
          <w:rFonts w:ascii="微软雅黑" w:eastAsia="微软雅黑" w:hAnsi="微软雅黑" w:cs="微软雅黑" w:hint="eastAsia"/>
          <w:b/>
          <w:sz w:val="20"/>
          <w:lang w:eastAsia="zh-CN"/>
        </w:rPr>
        <w:t>JS/T 302—2026《公共机构电动汽车充电基础设施配置及运行指南》</w:t>
      </w:r>
      <w:r>
        <w:rPr>
          <w:rFonts w:ascii="微软雅黑" w:eastAsia="微软雅黑" w:hAnsi="微软雅黑" w:cs="微软雅黑" w:hint="eastAsia"/>
          <w:sz w:val="20"/>
          <w:lang w:eastAsia="zh-CN"/>
        </w:rPr>
        <w:t>是本项目最直接的政策锚点。该机关事务行业标准由国家机关事务管理局于</w:t>
      </w:r>
      <w:r>
        <w:rPr>
          <w:sz w:val="20"/>
        </w:rPr>
        <w:t xml:space="preserve"> 2026 </w:t>
      </w:r>
      <w:r>
        <w:rPr>
          <w:rFonts w:ascii="微软雅黑" w:eastAsia="微软雅黑" w:hAnsi="微软雅黑" w:cs="微软雅黑" w:hint="eastAsia"/>
          <w:sz w:val="20"/>
          <w:lang w:eastAsia="zh-CN"/>
        </w:rPr>
        <w:t>年</w:t>
      </w:r>
      <w:r>
        <w:rPr>
          <w:sz w:val="20"/>
        </w:rPr>
        <w:t xml:space="preserve"> 1 </w:t>
      </w:r>
      <w:r>
        <w:rPr>
          <w:rFonts w:ascii="微软雅黑" w:eastAsia="微软雅黑" w:hAnsi="微软雅黑" w:cs="微软雅黑" w:hint="eastAsia"/>
          <w:sz w:val="20"/>
          <w:lang w:eastAsia="zh-CN"/>
        </w:rPr>
        <w:t>月</w:t>
      </w:r>
      <w:r>
        <w:rPr>
          <w:sz w:val="20"/>
        </w:rPr>
        <w:t xml:space="preserve"> 19 </w:t>
      </w:r>
      <w:r>
        <w:rPr>
          <w:rFonts w:ascii="微软雅黑" w:eastAsia="微软雅黑" w:hAnsi="微软雅黑" w:cs="微软雅黑" w:hint="eastAsia"/>
          <w:sz w:val="20"/>
          <w:lang w:eastAsia="zh-CN"/>
        </w:rPr>
        <w:t>日发布，</w:t>
      </w:r>
      <w:r>
        <w:rPr>
          <w:rFonts w:ascii="微软雅黑" w:eastAsia="微软雅黑" w:hAnsi="微软雅黑" w:cs="微软雅黑" w:hint="eastAsia"/>
          <w:b/>
          <w:sz w:val="20"/>
          <w:lang w:eastAsia="zh-CN"/>
        </w:rPr>
        <w:t>自 2026 年 3 月 1 日起实施</w:t>
      </w:r>
      <w:r>
        <w:rPr>
          <w:rFonts w:ascii="微软雅黑" w:eastAsia="微软雅黑" w:hAnsi="微软雅黑" w:cs="微软雅黑" w:hint="eastAsia"/>
          <w:sz w:val="20"/>
          <w:lang w:eastAsia="zh-CN"/>
        </w:rPr>
        <w:t>，覆盖各级党政机关、事业单位、团体组织等公共机构，包括公办高校、公立医院与公共文化体育场馆。</w:t>
      </w:r>
    </w:p>
    <w:p>
      <w:pPr>
        <w:jc w:val="both"/>
      </w:pPr>
      <w:r>
        <w:rPr>
          <w:rFonts w:ascii="微软雅黑" w:eastAsia="微软雅黑" w:hAnsi="微软雅黑" w:cs="微软雅黑" w:hint="eastAsia"/>
          <w:sz w:val="20"/>
          <w:lang w:eastAsia="zh-CN"/>
        </w:rPr>
        <w:t>标准的关键要求：</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要求项</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具体内容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配建比例</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充电车位不低于总车位的 </w:t>
            </w:r>
            <w:r>
              <w:rPr>
                <w:b/>
                <w:color w:val="212121"/>
                <w:sz w:val="16"/>
              </w:rPr>
              <w:t>25%</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快慢充配比</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直流桩</w:t>
            </w:r>
            <w:r>
              <w:rPr>
                <w:color w:val="212121"/>
                <w:sz w:val="16"/>
              </w:rPr>
              <w:t xml:space="preserve"> </w:t>
            </w:r>
            <w:r>
              <w:rPr>
                <w:color w:val="212121"/>
                <w:sz w:val="16"/>
              </w:rPr>
              <w:t xml:space="preserve"> 20%–40%</w:t>
            </w:r>
            <w:r>
              <w:rPr>
                <w:color w:val="212121"/>
                <w:sz w:val="16"/>
              </w:rPr>
              <w:t xml:space="preserve"> </w:t>
            </w:r>
            <w:r>
              <w:rPr>
                <w:color w:val="212121"/>
                <w:sz w:val="16"/>
              </w:rPr>
              <w:t>（单枪</w:t>
            </w:r>
            <w:r>
              <w:rPr>
                <w:color w:val="212121"/>
                <w:sz w:val="16"/>
              </w:rPr>
              <w:t xml:space="preserve"> </w:t>
            </w:r>
            <w:r>
              <w:rPr>
                <w:color w:val="212121"/>
                <w:sz w:val="16"/>
              </w:rPr>
              <w:t xml:space="preserve"> 40–250 kW</w:t>
            </w:r>
            <w:r>
              <w:rPr>
                <w:color w:val="212121"/>
                <w:sz w:val="16"/>
              </w:rPr>
              <w:t xml:space="preserve"> </w:t>
            </w:r>
            <w:r>
              <w:rPr>
                <w:color w:val="212121"/>
                <w:sz w:val="16"/>
              </w:rPr>
              <w:t>）；交流桩</w:t>
            </w:r>
            <w:r>
              <w:rPr>
                <w:color w:val="212121"/>
                <w:sz w:val="16"/>
              </w:rPr>
              <w:t xml:space="preserve"> </w:t>
            </w:r>
            <w:r>
              <w:rPr>
                <w:color w:val="212121"/>
                <w:sz w:val="16"/>
              </w:rPr>
              <w:t xml:space="preserve"> 60%–80%</w:t>
            </w:r>
            <w:r>
              <w:rPr>
                <w:color w:val="212121"/>
                <w:sz w:val="16"/>
              </w:rPr>
              <w:t xml:space="preserve"> </w:t>
            </w:r>
            <w:r>
              <w:rPr>
                <w:color w:val="212121"/>
                <w:sz w:val="16"/>
              </w:rPr>
              <w:t>（单枪不低于</w:t>
            </w:r>
            <w:r>
              <w:rPr>
                <w:color w:val="212121"/>
                <w:sz w:val="16"/>
              </w:rPr>
              <w:t xml:space="preserve"> </w:t>
            </w:r>
            <w:r>
              <w:rPr>
                <w:color w:val="212121"/>
                <w:sz w:val="16"/>
              </w:rPr>
              <w:t xml:space="preserve"> 7 kW</w:t>
            </w:r>
            <w:r>
              <w:rPr>
                <w:color w:val="212121"/>
                <w:sz w:val="16"/>
              </w:rPr>
              <w:t xml:space="preserve"> </w:t>
            </w:r>
            <w:r>
              <w:rPr>
                <w:color w:val="212121"/>
                <w:sz w:val="16"/>
              </w:rPr>
              <w:t>）</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设备准入</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须取得</w:t>
            </w:r>
            <w:r>
              <w:rPr>
                <w:color w:val="212121"/>
                <w:sz w:val="16"/>
              </w:rPr>
              <w:t xml:space="preserve"> </w:t>
            </w:r>
            <w:r>
              <w:rPr>
                <w:color w:val="212121"/>
                <w:sz w:val="16"/>
              </w:rPr>
              <w:t xml:space="preserve"> CCC </w:t>
            </w:r>
            <w:r>
              <w:rPr>
                <w:color w:val="212121"/>
                <w:sz w:val="16"/>
              </w:rPr>
              <w:t xml:space="preserve"> </w:t>
            </w:r>
            <w:r>
              <w:rPr>
                <w:color w:val="212121"/>
                <w:sz w:val="16"/>
              </w:rPr>
              <w:t>认证</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建设模式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可采用自主投资、企业投资、</w:t>
            </w:r>
            <w:r>
              <w:rPr>
                <w:color w:val="212121"/>
                <w:sz w:val="16"/>
              </w:rPr>
              <w:t xml:space="preserve"> </w:t>
            </w:r>
            <w:r>
              <w:rPr>
                <w:color w:val="212121"/>
                <w:sz w:val="16"/>
              </w:rPr>
              <w:t xml:space="preserve">BOT </w:t>
            </w:r>
            <w:r>
              <w:rPr>
                <w:color w:val="212121"/>
                <w:sz w:val="16"/>
              </w:rPr>
              <w:t xml:space="preserve"> </w:t>
            </w:r>
            <w:r>
              <w:rPr>
                <w:color w:val="212121"/>
                <w:sz w:val="16"/>
              </w:rPr>
              <w:t>等模式</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运行管理</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独立计量、规范收费，接入国家或省级监管平台，鼓励面向社会共享开放</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安全管理</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充电过程实时监控，监控视频存储不少于</w:t>
            </w:r>
            <w:r>
              <w:rPr>
                <w:color w:val="212121"/>
                <w:sz w:val="16"/>
              </w:rPr>
              <w:t xml:space="preserve"> </w:t>
            </w:r>
            <w:r>
              <w:rPr>
                <w:color w:val="212121"/>
                <w:sz w:val="16"/>
              </w:rPr>
              <w:t xml:space="preserve"> 30 </w:t>
            </w:r>
            <w:r>
              <w:rPr>
                <w:color w:val="212121"/>
                <w:sz w:val="16"/>
              </w:rPr>
              <w:t xml:space="preserve"> </w:t>
            </w:r>
            <w:r>
              <w:rPr>
                <w:color w:val="212121"/>
                <w:sz w:val="16"/>
              </w:rPr>
              <w:t>天，定期巡检与应急演练</w:t>
            </w:r>
          </w:p>
        </w:tc>
      </w:tr>
    </w:tbl>
    <w:p>
      <w:pPr>
        <w:jc w:val="both"/>
      </w:pPr>
      <w:r>
        <w:rPr>
          <w:rFonts w:ascii="微软雅黑" w:eastAsia="微软雅黑" w:hAnsi="微软雅黑" w:cs="微软雅黑" w:hint="eastAsia"/>
          <w:sz w:val="20"/>
          <w:lang w:eastAsia="zh-CN"/>
        </w:rPr>
        <w:t>这条政策同时改变了三件事：</w:t>
      </w:r>
    </w:p>
    <w:p>
      <w:pPr>
        <w:pStyle w:val="ListNumber"/>
        <w:numPr>
          <w:ilvl w:val="0"/>
          <w:numId w:val="11"/>
        </w:numPr>
        <w:spacing w:after="60"/>
        <w:jc w:val="both"/>
      </w:pPr>
      <w:r>
        <w:rPr>
          <w:rFonts w:ascii="微软雅黑" w:eastAsia="微软雅黑" w:hAnsi="微软雅黑" w:cs="微软雅黑" w:hint="eastAsia"/>
          <w:b/>
          <w:sz w:val="20"/>
          <w:lang w:eastAsia="zh-CN"/>
        </w:rPr>
        <w:t>充电车位的绝对数量会显著增长</w:t>
      </w:r>
      <w:r>
        <w:rPr>
          <w:sz w:val="20"/>
        </w:rPr>
        <w:t>——</w:t>
      </w:r>
      <w:r>
        <w:rPr>
          <w:rFonts w:ascii="微软雅黑" w:eastAsia="微软雅黑" w:hAnsi="微软雅黑" w:cs="微软雅黑" w:hint="eastAsia"/>
          <w:sz w:val="20"/>
          <w:lang w:eastAsia="zh-CN"/>
        </w:rPr>
        <w:t>按</w:t>
      </w:r>
      <w:r>
        <w:rPr>
          <w:sz w:val="20"/>
        </w:rPr>
        <w:t xml:space="preserve"> 25% </w:t>
      </w:r>
      <w:r>
        <w:rPr>
          <w:rFonts w:ascii="微软雅黑" w:eastAsia="微软雅黑" w:hAnsi="微软雅黑" w:cs="微软雅黑" w:hint="eastAsia"/>
          <w:sz w:val="20"/>
          <w:lang w:eastAsia="zh-CN"/>
        </w:rPr>
        <w:t>的比例要求，一所拥有</w:t>
      </w:r>
      <w:r>
        <w:rPr>
          <w:sz w:val="20"/>
        </w:rPr>
        <w:t xml:space="preserve"> 1500 </w:t>
      </w:r>
      <w:r>
        <w:rPr>
          <w:rFonts w:ascii="微软雅黑" w:eastAsia="微软雅黑" w:hAnsi="微软雅黑" w:cs="微软雅黑" w:hint="eastAsia"/>
          <w:sz w:val="20"/>
          <w:lang w:eastAsia="zh-CN"/>
        </w:rPr>
        <w:t>个停车位的高校，其充电车位规模将达到</w:t>
      </w:r>
      <w:r>
        <w:rPr>
          <w:sz w:val="20"/>
        </w:rPr>
        <w:t xml:space="preserve"> 375 </w:t>
      </w:r>
      <w:r>
        <w:rPr>
          <w:rFonts w:ascii="微软雅黑" w:eastAsia="微软雅黑" w:hAnsi="微软雅黑" w:cs="微软雅黑" w:hint="eastAsia"/>
          <w:sz w:val="20"/>
          <w:lang w:eastAsia="zh-CN"/>
        </w:rPr>
        <w:t>个量级，管理复杂度远超人工巡查的承载能力。</w:t>
      </w:r>
    </w:p>
    <w:p>
      <w:pPr>
        <w:pStyle w:val="ListNumber"/>
        <w:numPr>
          <w:ilvl w:val="0"/>
          <w:numId w:val="11"/>
        </w:numPr>
        <w:spacing w:after="60"/>
        <w:jc w:val="both"/>
      </w:pPr>
      <w:r>
        <w:rPr>
          <w:rFonts w:ascii="微软雅黑" w:eastAsia="微软雅黑" w:hAnsi="微软雅黑" w:cs="微软雅黑" w:hint="eastAsia"/>
          <w:b/>
          <w:sz w:val="20"/>
          <w:lang w:eastAsia="zh-CN"/>
        </w:rPr>
        <w:t>管理责任被明确到具体机构</w:t>
      </w:r>
      <w:r>
        <w:rPr>
          <w:sz w:val="20"/>
        </w:rPr>
        <w:t>——</w:t>
      </w:r>
      <w:r>
        <w:rPr>
          <w:rFonts w:ascii="微软雅黑" w:eastAsia="微软雅黑" w:hAnsi="微软雅黑" w:cs="微软雅黑" w:hint="eastAsia"/>
          <w:sz w:val="20"/>
          <w:lang w:eastAsia="zh-CN"/>
        </w:rPr>
        <w:t>标准要求</w:t>
      </w:r>
      <w:r>
        <w:rPr>
          <w:sz w:val="20"/>
        </w:rPr>
        <w:t>"</w:t>
      </w:r>
      <w:r>
        <w:rPr>
          <w:rFonts w:ascii="微软雅黑" w:eastAsia="微软雅黑" w:hAnsi="微软雅黑" w:cs="微软雅黑" w:hint="eastAsia"/>
          <w:sz w:val="20"/>
          <w:lang w:eastAsia="zh-CN"/>
        </w:rPr>
        <w:t>独立计量、规范收费</w:t>
      </w:r>
      <w:r>
        <w:rPr>
          <w:sz w:val="20"/>
        </w:rPr>
        <w:t>""</w:t>
      </w:r>
      <w:r>
        <w:rPr>
          <w:rFonts w:ascii="微软雅黑" w:eastAsia="微软雅黑" w:hAnsi="微软雅黑" w:cs="微软雅黑" w:hint="eastAsia"/>
          <w:sz w:val="20"/>
          <w:lang w:eastAsia="zh-CN"/>
        </w:rPr>
        <w:t>接入监管平台</w:t>
      </w:r>
      <w:r>
        <w:rPr>
          <w:sz w:val="20"/>
        </w:rPr>
        <w:t>""</w:t>
      </w:r>
      <w:r>
        <w:rPr>
          <w:rFonts w:ascii="微软雅黑" w:eastAsia="微软雅黑" w:hAnsi="微软雅黑" w:cs="微软雅黑" w:hint="eastAsia"/>
          <w:sz w:val="20"/>
          <w:lang w:eastAsia="zh-CN"/>
        </w:rPr>
        <w:t>实时监控</w:t>
      </w:r>
      <w:r>
        <w:rPr>
          <w:sz w:val="20"/>
        </w:rPr>
        <w:t>""</w:t>
      </w:r>
      <w:r>
        <w:rPr>
          <w:rFonts w:ascii="微软雅黑" w:eastAsia="微软雅黑" w:hAnsi="微软雅黑" w:cs="微软雅黑" w:hint="eastAsia"/>
          <w:sz w:val="20"/>
          <w:lang w:eastAsia="zh-CN"/>
        </w:rPr>
        <w:t>定期巡检</w:t>
      </w:r>
      <w:r>
        <w:rPr>
          <w:sz w:val="20"/>
        </w:rPr>
        <w:t>"</w:t>
      </w:r>
      <w:r>
        <w:rPr>
          <w:rFonts w:ascii="微软雅黑" w:eastAsia="微软雅黑" w:hAnsi="微软雅黑" w:cs="微软雅黑" w:hint="eastAsia"/>
          <w:sz w:val="20"/>
          <w:lang w:eastAsia="zh-CN"/>
        </w:rPr>
        <w:t>，意味着管理方必须留下可核查的记录，而不只是</w:t>
      </w:r>
      <w:r>
        <w:rPr>
          <w:sz w:val="20"/>
        </w:rPr>
        <w:t>"</w:t>
      </w:r>
      <w:r>
        <w:rPr>
          <w:rFonts w:ascii="微软雅黑" w:eastAsia="微软雅黑" w:hAnsi="微软雅黑" w:cs="微软雅黑" w:hint="eastAsia"/>
          <w:sz w:val="20"/>
          <w:lang w:eastAsia="zh-CN"/>
        </w:rPr>
        <w:t>安排了人去看</w:t>
      </w:r>
      <w:r>
        <w:rPr>
          <w:sz w:val="20"/>
        </w:rPr>
        <w:t>"</w:t>
      </w:r>
      <w:r>
        <w:rPr>
          <w:rFonts w:ascii="微软雅黑" w:eastAsia="微软雅黑" w:hAnsi="微软雅黑" w:cs="微软雅黑" w:hint="eastAsia"/>
          <w:sz w:val="20"/>
          <w:lang w:eastAsia="zh-CN"/>
        </w:rPr>
        <w:t>。</w:t>
      </w:r>
    </w:p>
    <w:p>
      <w:pPr>
        <w:pStyle w:val="ListNumber"/>
        <w:numPr>
          <w:ilvl w:val="0"/>
          <w:numId w:val="11"/>
        </w:numPr>
        <w:spacing w:after="60"/>
        <w:jc w:val="both"/>
      </w:pPr>
      <w:r>
        <w:rPr>
          <w:rFonts w:ascii="微软雅黑" w:eastAsia="微软雅黑" w:hAnsi="微软雅黑" w:cs="微软雅黑" w:hint="eastAsia"/>
          <w:b/>
          <w:sz w:val="20"/>
          <w:lang w:eastAsia="zh-CN"/>
        </w:rPr>
        <w:t>对外开放放大了矛盾</w:t>
      </w:r>
      <w:r>
        <w:rPr>
          <w:sz w:val="20"/>
        </w:rPr>
        <w:t>——</w:t>
      </w:r>
      <w:r>
        <w:rPr>
          <w:rFonts w:ascii="微软雅黑" w:eastAsia="微软雅黑" w:hAnsi="微软雅黑" w:cs="微软雅黑" w:hint="eastAsia"/>
          <w:sz w:val="20"/>
          <w:lang w:eastAsia="zh-CN"/>
        </w:rPr>
        <w:t>标准鼓励公共机构充电设施向社会共享开放。一旦社会车辆进入，占用纠纷从</w:t>
      </w:r>
      <w:r>
        <w:rPr>
          <w:sz w:val="20"/>
        </w:rPr>
        <w:t>"</w:t>
      </w:r>
      <w:r>
        <w:rPr>
          <w:rFonts w:ascii="微软雅黑" w:eastAsia="微软雅黑" w:hAnsi="微软雅黑" w:cs="微软雅黑" w:hint="eastAsia"/>
          <w:sz w:val="20"/>
          <w:lang w:eastAsia="zh-CN"/>
        </w:rPr>
        <w:t>内部协调</w:t>
      </w:r>
      <w:r>
        <w:rPr>
          <w:sz w:val="20"/>
        </w:rPr>
        <w:t>"</w:t>
      </w:r>
      <w:r>
        <w:rPr>
          <w:rFonts w:ascii="微软雅黑" w:eastAsia="微软雅黑" w:hAnsi="微软雅黑" w:cs="微软雅黑" w:hint="eastAsia"/>
          <w:sz w:val="20"/>
          <w:lang w:eastAsia="zh-CN"/>
        </w:rPr>
        <w:t>变成</w:t>
      </w:r>
      <w:r>
        <w:rPr>
          <w:sz w:val="20"/>
        </w:rPr>
        <w:t>"</w:t>
      </w:r>
      <w:r>
        <w:rPr>
          <w:rFonts w:ascii="微软雅黑" w:eastAsia="微软雅黑" w:hAnsi="微软雅黑" w:cs="微软雅黑" w:hint="eastAsia"/>
          <w:sz w:val="20"/>
          <w:lang w:eastAsia="zh-CN"/>
        </w:rPr>
        <w:t>对外服务</w:t>
      </w:r>
      <w:r>
        <w:rPr>
          <w:sz w:val="20"/>
        </w:rPr>
        <w:t>"</w:t>
      </w:r>
      <w:r>
        <w:rPr>
          <w:rFonts w:ascii="微软雅黑" w:eastAsia="微软雅黑" w:hAnsi="微软雅黑" w:cs="微软雅黑" w:hint="eastAsia"/>
          <w:sz w:val="20"/>
          <w:lang w:eastAsia="zh-CN"/>
        </w:rPr>
        <w:t>，缺少结构化记录会让管理方在争议中处于不利位置。</w:t>
      </w:r>
    </w:p>
    <w:p>
      <w:pPr>
        <w:jc w:val="both"/>
      </w:pPr>
      <w:r>
        <w:rPr>
          <w:rFonts w:ascii="微软雅黑" w:eastAsia="微软雅黑" w:hAnsi="微软雅黑" w:cs="微软雅黑" w:hint="eastAsia"/>
          <w:sz w:val="20"/>
          <w:lang w:eastAsia="zh-CN"/>
        </w:rPr>
        <w:t>除本条标准外，《新型电力系统建设</w:t>
      </w:r>
      <w:r>
        <w:rPr>
          <w:sz w:val="20"/>
        </w:rPr>
        <w:t>"</w:t>
      </w:r>
      <w:r>
        <w:rPr>
          <w:rFonts w:ascii="微软雅黑" w:eastAsia="微软雅黑" w:hAnsi="微软雅黑" w:cs="微软雅黑" w:hint="eastAsia"/>
          <w:sz w:val="20"/>
          <w:lang w:eastAsia="zh-CN"/>
        </w:rPr>
        <w:t>十五五</w:t>
      </w:r>
      <w:r>
        <w:rPr>
          <w:sz w:val="20"/>
        </w:rPr>
        <w:t>"</w:t>
      </w:r>
      <w:r>
        <w:rPr>
          <w:rFonts w:ascii="微软雅黑" w:eastAsia="微软雅黑" w:hAnsi="微软雅黑" w:cs="微软雅黑" w:hint="eastAsia"/>
          <w:sz w:val="20"/>
          <w:lang w:eastAsia="zh-CN"/>
        </w:rPr>
        <w:t>规划》提出到</w:t>
      </w:r>
      <w:r>
        <w:rPr>
          <w:sz w:val="20"/>
        </w:rPr>
        <w:t xml:space="preserve"> 2030 </w:t>
      </w:r>
      <w:r>
        <w:rPr>
          <w:rFonts w:ascii="微软雅黑" w:eastAsia="微软雅黑" w:hAnsi="微软雅黑" w:cs="微软雅黑" w:hint="eastAsia"/>
          <w:sz w:val="20"/>
          <w:lang w:eastAsia="zh-CN"/>
        </w:rPr>
        <w:t>年全国充电基础设施总量超过</w:t>
      </w:r>
      <w:r>
        <w:rPr>
          <w:sz w:val="20"/>
        </w:rPr>
        <w:t xml:space="preserve"> 4000 </w:t>
      </w:r>
      <w:r>
        <w:rPr>
          <w:rFonts w:ascii="微软雅黑" w:eastAsia="微软雅黑" w:hAnsi="微软雅黑" w:cs="微软雅黑" w:hint="eastAsia"/>
          <w:sz w:val="20"/>
          <w:lang w:eastAsia="zh-CN"/>
        </w:rPr>
        <w:t>万个、形成支撑超过</w:t>
      </w:r>
      <w:r>
        <w:rPr>
          <w:sz w:val="20"/>
        </w:rPr>
        <w:t xml:space="preserve"> 1.1 </w:t>
      </w:r>
      <w:r>
        <w:rPr>
          <w:rFonts w:ascii="微软雅黑" w:eastAsia="微软雅黑" w:hAnsi="微软雅黑" w:cs="微软雅黑" w:hint="eastAsia"/>
          <w:sz w:val="20"/>
          <w:lang w:eastAsia="zh-CN"/>
        </w:rPr>
        <w:t>亿辆电动汽车的充电服务能力。政策方向在中期内不会逆转。</w:t>
      </w:r>
    </w:p>
    <w:p>
      <w:pPr>
        <w:pStyle w:val="Heading3"/>
        <w:spacing w:line="300" w:lineRule="auto"/>
      </w:pPr>
      <w:r>
        <w:rPr>
          <w:rFonts w:ascii="微软雅黑" w:hAnsi="微软雅黑" w:eastAsia="微软雅黑" w:cs="微软雅黑" w:hint="eastAsia"/>
          <w:b/>
          <w:color w:val="1565C0"/>
          <w:sz w:val="22"/>
          <w:lang w:eastAsia="zh-CN"/>
        </w:rPr>
        <w:t>2.2 市场基础：存量设施与增量设施同时扩大</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指标</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数值</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说明</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全国机动车保有量</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4.76 </w:t>
            </w:r>
            <w:r>
              <w:rPr>
                <w:color w:val="212121"/>
                <w:sz w:val="16"/>
              </w:rPr>
              <w:t xml:space="preserve"> </w:t>
            </w:r>
            <w:r>
              <w:rPr>
                <w:color w:val="212121"/>
                <w:sz w:val="16"/>
              </w:rPr>
              <w:t>亿辆（汽车</w:t>
            </w:r>
            <w:r>
              <w:rPr>
                <w:color w:val="212121"/>
                <w:sz w:val="16"/>
              </w:rPr>
              <w:t xml:space="preserve"> </w:t>
            </w:r>
            <w:r>
              <w:rPr>
                <w:color w:val="212121"/>
                <w:sz w:val="16"/>
              </w:rPr>
              <w:t xml:space="preserve"> 3.71 </w:t>
            </w:r>
            <w:r>
              <w:rPr>
                <w:color w:val="212121"/>
                <w:sz w:val="16"/>
              </w:rPr>
              <w:t xml:space="preserve"> </w:t>
            </w:r>
            <w:r>
              <w:rPr>
                <w:color w:val="212121"/>
                <w:sz w:val="16"/>
              </w:rPr>
              <w:t>亿辆）</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截至</w:t>
            </w:r>
            <w:r>
              <w:rPr>
                <w:color w:val="212121"/>
                <w:sz w:val="16"/>
              </w:rPr>
              <w:t xml:space="preserve"> </w:t>
            </w:r>
            <w:r>
              <w:rPr>
                <w:color w:val="212121"/>
                <w:sz w:val="16"/>
              </w:rPr>
              <w:t xml:space="preserve"> 2026 </w:t>
            </w:r>
            <w:r>
              <w:rPr>
                <w:color w:val="212121"/>
                <w:sz w:val="16"/>
              </w:rPr>
              <w:t xml:space="preserve"> </w:t>
            </w:r>
            <w:r>
              <w:rPr>
                <w:color w:val="212121"/>
                <w:sz w:val="16"/>
              </w:rPr>
              <w:t>年</w:t>
            </w:r>
            <w:r>
              <w:rPr>
                <w:color w:val="212121"/>
                <w:sz w:val="16"/>
              </w:rPr>
              <w:t xml:space="preserve"> </w:t>
            </w:r>
            <w:r>
              <w:rPr>
                <w:color w:val="212121"/>
                <w:sz w:val="16"/>
              </w:rPr>
              <w:t xml:space="preserve"> 6 </w:t>
            </w:r>
            <w:r>
              <w:rPr>
                <w:color w:val="212121"/>
                <w:sz w:val="16"/>
              </w:rPr>
              <w:t xml:space="preserve"> </w:t>
            </w:r>
            <w:r>
              <w:rPr>
                <w:color w:val="212121"/>
                <w:sz w:val="16"/>
              </w:rPr>
              <w:t>月底，公安部交通管理局</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新能源汽车保有量</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4897 </w:t>
            </w:r>
            <w:r>
              <w:rPr>
                <w:color w:val="212121"/>
                <w:sz w:val="16"/>
              </w:rPr>
              <w:t xml:space="preserve"> </w:t>
            </w:r>
            <w:r>
              <w:rPr>
                <w:color w:val="212121"/>
                <w:sz w:val="16"/>
              </w:rPr>
              <w:t>万辆，占汽车总量</w:t>
            </w:r>
            <w:r>
              <w:rPr>
                <w:color w:val="212121"/>
                <w:sz w:val="16"/>
              </w:rPr>
              <w:t xml:space="preserve"> </w:t>
            </w:r>
            <w:r>
              <w:rPr>
                <w:color w:val="212121"/>
                <w:sz w:val="16"/>
              </w:rPr>
              <w:t xml:space="preserve"> 13.19%</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同比提高</w:t>
            </w:r>
            <w:r>
              <w:rPr>
                <w:color w:val="212121"/>
                <w:sz w:val="16"/>
              </w:rPr>
              <w:t xml:space="preserve"> </w:t>
            </w:r>
            <w:r>
              <w:rPr>
                <w:color w:val="212121"/>
                <w:sz w:val="16"/>
              </w:rPr>
              <w:t xml:space="preserve"> 2.92 </w:t>
            </w:r>
            <w:r>
              <w:rPr>
                <w:color w:val="212121"/>
                <w:sz w:val="16"/>
              </w:rPr>
              <w:t xml:space="preserve"> </w:t>
            </w:r>
            <w:r>
              <w:rPr>
                <w:color w:val="212121"/>
                <w:sz w:val="16"/>
              </w:rPr>
              <w:t>个百分点</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纯电动汽车保有量</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3367.5 </w:t>
            </w:r>
            <w:r>
              <w:rPr>
                <w:color w:val="212121"/>
                <w:sz w:val="16"/>
              </w:rPr>
              <w:t xml:space="preserve"> </w:t>
            </w:r>
            <w:r>
              <w:rPr>
                <w:color w:val="212121"/>
                <w:sz w:val="16"/>
              </w:rPr>
              <w:t>万辆，占新能源汽车</w:t>
            </w:r>
            <w:r>
              <w:rPr>
                <w:color w:val="212121"/>
                <w:sz w:val="16"/>
              </w:rPr>
              <w:t xml:space="preserve"> </w:t>
            </w:r>
            <w:r>
              <w:rPr>
                <w:color w:val="212121"/>
                <w:sz w:val="16"/>
              </w:rPr>
              <w:t xml:space="preserve"> 68.77%</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纯电是充电车位的直接需求方</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2026 </w:t>
            </w:r>
            <w:r>
              <w:rPr>
                <w:color w:val="212121"/>
                <w:sz w:val="16"/>
              </w:rPr>
              <w:t xml:space="preserve"> </w:t>
            </w:r>
            <w:r>
              <w:rPr>
                <w:color w:val="212121"/>
                <w:sz w:val="16"/>
              </w:rPr>
              <w:t>上半年新注册新能源汽车</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519.5 </w:t>
            </w:r>
            <w:r>
              <w:rPr>
                <w:color w:val="212121"/>
                <w:sz w:val="16"/>
              </w:rPr>
              <w:t xml:space="preserve"> </w:t>
            </w:r>
            <w:r>
              <w:rPr>
                <w:color w:val="212121"/>
                <w:sz w:val="16"/>
              </w:rPr>
              <w:t>万辆，占新注册汽车</w:t>
            </w:r>
            <w:r>
              <w:rPr>
                <w:color w:val="212121"/>
                <w:sz w:val="16"/>
              </w:rPr>
              <w:t xml:space="preserve"> </w:t>
            </w:r>
            <w:r>
              <w:rPr>
                <w:color w:val="212121"/>
                <w:sz w:val="16"/>
              </w:rPr>
              <w:t xml:space="preserve"> 49.42%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新增车辆中近半为新能源，需求端增速高于存量</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全国充电基础设施（枪）</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2305.7 </w:t>
            </w:r>
            <w:r>
              <w:rPr>
                <w:color w:val="212121"/>
                <w:sz w:val="16"/>
              </w:rPr>
              <w:t xml:space="preserve"> </w:t>
            </w:r>
            <w:r>
              <w:rPr>
                <w:color w:val="212121"/>
                <w:sz w:val="16"/>
              </w:rPr>
              <w:t>万个，同比</w:t>
            </w:r>
            <w:r>
              <w:rPr>
                <w:color w:val="212121"/>
                <w:sz w:val="16"/>
              </w:rPr>
              <w:t xml:space="preserve"> </w:t>
            </w:r>
            <w:r>
              <w:rPr>
                <w:color w:val="212121"/>
                <w:sz w:val="16"/>
              </w:rPr>
              <w:t xml:space="preserve"> +43.2%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国家能源局，截至</w:t>
            </w:r>
            <w:r>
              <w:rPr>
                <w:color w:val="212121"/>
                <w:sz w:val="16"/>
              </w:rPr>
              <w:t xml:space="preserve"> </w:t>
            </w:r>
            <w:r>
              <w:rPr>
                <w:color w:val="212121"/>
                <w:sz w:val="16"/>
              </w:rPr>
              <w:t xml:space="preserve"> 2026 </w:t>
            </w:r>
            <w:r>
              <w:rPr>
                <w:color w:val="212121"/>
                <w:sz w:val="16"/>
              </w:rPr>
              <w:t xml:space="preserve"> </w:t>
            </w:r>
            <w:r>
              <w:rPr>
                <w:color w:val="212121"/>
                <w:sz w:val="16"/>
              </w:rPr>
              <w:t>年</w:t>
            </w:r>
            <w:r>
              <w:rPr>
                <w:color w:val="212121"/>
                <w:sz w:val="16"/>
              </w:rPr>
              <w:t xml:space="preserve"> </w:t>
            </w:r>
            <w:r>
              <w:rPr>
                <w:color w:val="212121"/>
                <w:sz w:val="16"/>
              </w:rPr>
              <w:t xml:space="preserve"> 6 </w:t>
            </w:r>
            <w:r>
              <w:rPr>
                <w:color w:val="212121"/>
                <w:sz w:val="16"/>
              </w:rPr>
              <w:t xml:space="preserve"> </w:t>
            </w:r>
            <w:r>
              <w:rPr>
                <w:color w:val="212121"/>
                <w:sz w:val="16"/>
              </w:rPr>
              <w:t>月底</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其中公共充电设施（枪）</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500.9 </w:t>
            </w:r>
            <w:r>
              <w:rPr>
                <w:color w:val="212121"/>
                <w:sz w:val="16"/>
              </w:rPr>
              <w:t xml:space="preserve"> </w:t>
            </w:r>
            <w:r>
              <w:rPr>
                <w:color w:val="212121"/>
                <w:sz w:val="16"/>
              </w:rPr>
              <w:t>万个，同比</w:t>
            </w:r>
            <w:r>
              <w:rPr>
                <w:color w:val="212121"/>
                <w:sz w:val="16"/>
              </w:rPr>
              <w:t xml:space="preserve"> </w:t>
            </w:r>
            <w:r>
              <w:rPr>
                <w:color w:val="212121"/>
                <w:sz w:val="16"/>
              </w:rPr>
              <w:t xml:space="preserve"> +22.3%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本项目的主要监管对象</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其中私人充电设施（枪）</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1804.8 </w:t>
            </w:r>
            <w:r>
              <w:rPr>
                <w:color w:val="212121"/>
                <w:sz w:val="16"/>
              </w:rPr>
              <w:t xml:space="preserve"> </w:t>
            </w:r>
            <w:r>
              <w:rPr>
                <w:color w:val="212121"/>
                <w:sz w:val="16"/>
              </w:rPr>
              <w:t>万个，占全部约</w:t>
            </w:r>
            <w:r>
              <w:rPr>
                <w:color w:val="212121"/>
                <w:sz w:val="16"/>
              </w:rPr>
              <w:t xml:space="preserve"> </w:t>
            </w:r>
            <w:r>
              <w:rPr>
                <w:color w:val="212121"/>
                <w:sz w:val="16"/>
              </w:rPr>
              <w:t xml:space="preserve"> 78%</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说明公共桩服务压力更集中</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县域充电设施覆盖率</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98.61%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设施覆盖已基本完成，问题转向</w:t>
            </w:r>
            <w:r>
              <w:rPr>
                <w:color w:val="212121"/>
                <w:sz w:val="16"/>
              </w:rPr>
              <w:t xml:space="preserve"> </w:t>
            </w:r>
            <w:r>
              <w:rPr>
                <w:color w:val="212121"/>
                <w:sz w:val="16"/>
              </w:rPr>
              <w:t>"</w:t>
            </w:r>
            <w:r>
              <w:rPr>
                <w:color w:val="212121"/>
                <w:sz w:val="16"/>
              </w:rPr>
              <w:t xml:space="preserve"> </w:t>
            </w:r>
            <w:r>
              <w:rPr>
                <w:color w:val="212121"/>
                <w:sz w:val="16"/>
              </w:rPr>
              <w:t>用得好不好</w:t>
            </w:r>
            <w:r>
              <w:rPr>
                <w:color w:val="212121"/>
                <w:sz w:val="16"/>
              </w:rPr>
              <w:t xml:space="preserve"> </w:t>
            </w:r>
            <w:r>
              <w:rPr>
                <w:color w:val="212121"/>
                <w:sz w:val="16"/>
              </w:rPr>
              <w:t>"</w:t>
            </w:r>
          </w:p>
        </w:tc>
      </w:tr>
    </w:tbl>
    <w:p>
      <w:pPr>
        <w:jc w:val="both"/>
      </w:pPr>
      <w:r>
        <w:rPr>
          <w:rFonts w:ascii="微软雅黑" w:eastAsia="微软雅黑" w:hAnsi="微软雅黑" w:cs="微软雅黑" w:hint="eastAsia"/>
          <w:sz w:val="20"/>
          <w:lang w:eastAsia="zh-CN"/>
        </w:rPr>
        <w:t>一个关键判断：</w:t>
      </w:r>
      <w:r>
        <w:rPr>
          <w:rFonts w:ascii="微软雅黑" w:eastAsia="微软雅黑" w:hAnsi="微软雅黑" w:cs="微软雅黑" w:hint="eastAsia"/>
          <w:b/>
          <w:sz w:val="20"/>
          <w:lang w:eastAsia="zh-CN"/>
        </w:rPr>
        <w:t>充电设施的数量增长已经领先于管理能力的增长</w:t>
      </w:r>
      <w:r>
        <w:rPr>
          <w:rFonts w:ascii="微软雅黑" w:eastAsia="微软雅黑" w:hAnsi="微软雅黑" w:cs="微软雅黑" w:hint="eastAsia"/>
          <w:sz w:val="20"/>
          <w:lang w:eastAsia="zh-CN"/>
        </w:rPr>
        <w:t>。公共充电设施</w:t>
      </w:r>
      <w:r>
        <w:rPr>
          <w:sz w:val="20"/>
        </w:rPr>
        <w:t xml:space="preserve"> 500.9 </w:t>
      </w:r>
      <w:r>
        <w:rPr>
          <w:rFonts w:ascii="微软雅黑" w:eastAsia="微软雅黑" w:hAnsi="微软雅黑" w:cs="微软雅黑" w:hint="eastAsia"/>
          <w:sz w:val="20"/>
          <w:lang w:eastAsia="zh-CN"/>
        </w:rPr>
        <w:t>万个、同比增长</w:t>
      </w:r>
      <w:r>
        <w:rPr>
          <w:sz w:val="20"/>
        </w:rPr>
        <w:t xml:space="preserve"> 22.3%</w:t>
      </w:r>
      <w:r>
        <w:rPr>
          <w:rFonts w:ascii="微软雅黑" w:eastAsia="微软雅黑" w:hAnsi="微软雅黑" w:cs="微软雅黑" w:hint="eastAsia"/>
          <w:sz w:val="20"/>
          <w:lang w:eastAsia="zh-CN"/>
        </w:rPr>
        <w:t>，同期针对</w:t>
      </w:r>
      <w:r>
        <w:rPr>
          <w:sz w:val="20"/>
        </w:rPr>
        <w:t>"</w:t>
      </w:r>
      <w:r>
        <w:rPr>
          <w:rFonts w:ascii="微软雅黑" w:eastAsia="微软雅黑" w:hAnsi="微软雅黑" w:cs="微软雅黑" w:hint="eastAsia"/>
          <w:sz w:val="20"/>
          <w:lang w:eastAsia="zh-CN"/>
        </w:rPr>
        <w:t>车位被占用</w:t>
      </w:r>
      <w:r>
        <w:rPr>
          <w:sz w:val="20"/>
        </w:rPr>
        <w:t>"</w:t>
      </w:r>
      <w:r>
        <w:rPr>
          <w:rFonts w:ascii="微软雅黑" w:eastAsia="微软雅黑" w:hAnsi="微软雅黑" w:cs="微软雅黑" w:hint="eastAsia"/>
          <w:sz w:val="20"/>
          <w:lang w:eastAsia="zh-CN"/>
        </w:rPr>
        <w:t>的调查却显示近半数新能源车主把占位列为最突出的痛点。设施在变多，可用率却没有同步提高</w:t>
      </w:r>
      <w:r>
        <w:rPr>
          <w:sz w:val="20"/>
        </w:rPr>
        <w:t>——</w:t>
      </w:r>
      <w:r>
        <w:rPr>
          <w:rFonts w:ascii="微软雅黑" w:eastAsia="微软雅黑" w:hAnsi="微软雅黑" w:cs="微软雅黑" w:hint="eastAsia"/>
          <w:sz w:val="20"/>
          <w:lang w:eastAsia="zh-CN"/>
        </w:rPr>
        <w:t>这正是本项目切入的位置。</w:t>
      </w:r>
    </w:p>
    <w:p>
      <w:pPr>
        <w:pStyle w:val="Heading3"/>
        <w:spacing w:line="300" w:lineRule="auto"/>
      </w:pPr>
      <w:r>
        <w:rPr>
          <w:rFonts w:ascii="微软雅黑" w:hAnsi="微软雅黑" w:eastAsia="微软雅黑" w:cs="微软雅黑" w:hint="eastAsia"/>
          <w:b/>
          <w:color w:val="1565C0"/>
          <w:sz w:val="22"/>
          <w:lang w:eastAsia="zh-CN"/>
        </w:rPr>
        <w:t>2.3 需求痛点：车位被占是各方公认的第一痛点</w:t>
      </w:r>
    </w:p>
    <w:p>
      <w:pPr>
        <w:jc w:val="both"/>
      </w:pPr>
      <w:r>
        <w:rPr>
          <w:rFonts w:ascii="微软雅黑" w:eastAsia="微软雅黑" w:hAnsi="微软雅黑" w:cs="微软雅黑" w:hint="eastAsia"/>
          <w:sz w:val="20"/>
          <w:lang w:eastAsia="zh-CN"/>
        </w:rPr>
        <w:t>三份独立调查指向同一个结论：</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调查来源</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样本与方法</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关键结论</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中国消费者协会《住宅小区物业服务调查报告》（</w:t>
            </w:r>
            <w:r>
              <w:rPr>
                <w:color w:val="212121"/>
                <w:sz w:val="16"/>
              </w:rPr>
              <w:t xml:space="preserve"> </w:t>
            </w: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7 </w:t>
            </w:r>
            <w:r>
              <w:rPr>
                <w:color w:val="212121"/>
                <w:sz w:val="16"/>
              </w:rPr>
              <w:t xml:space="preserve"> </w:t>
            </w:r>
            <w:r>
              <w:rPr>
                <w:color w:val="212121"/>
                <w:sz w:val="16"/>
              </w:rPr>
              <w:t>月）</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全国住宅小区物业服务调查</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反映</w:t>
            </w:r>
            <w:r>
              <w:rPr>
                <w:color w:val="212121"/>
                <w:sz w:val="16"/>
              </w:rPr>
              <w:t xml:space="preserve"> </w:t>
            </w:r>
            <w:r>
              <w:rPr>
                <w:color w:val="212121"/>
                <w:sz w:val="16"/>
              </w:rPr>
              <w:t>"</w:t>
            </w:r>
            <w:r>
              <w:rPr>
                <w:color w:val="212121"/>
                <w:sz w:val="16"/>
              </w:rPr>
              <w:t xml:space="preserve"> </w:t>
            </w:r>
            <w:r>
              <w:rPr>
                <w:color w:val="212121"/>
                <w:sz w:val="16"/>
              </w:rPr>
              <w:t>充电位置经常被燃油车占用</w:t>
            </w:r>
            <w:r>
              <w:rPr>
                <w:color w:val="212121"/>
                <w:sz w:val="16"/>
              </w:rPr>
              <w:t xml:space="preserve"> </w:t>
            </w:r>
            <w:r>
              <w:rPr>
                <w:color w:val="212121"/>
                <w:sz w:val="16"/>
              </w:rPr>
              <w:t>"</w:t>
            </w:r>
            <w:r>
              <w:rPr>
                <w:color w:val="212121"/>
                <w:sz w:val="16"/>
              </w:rPr>
              <w:t xml:space="preserve"> </w:t>
            </w:r>
            <w:r>
              <w:rPr>
                <w:color w:val="212121"/>
                <w:sz w:val="16"/>
              </w:rPr>
              <w:t>的车主占</w:t>
            </w:r>
            <w:r>
              <w:rPr>
                <w:color w:val="212121"/>
                <w:sz w:val="16"/>
              </w:rPr>
              <w:t xml:space="preserve"> </w:t>
            </w:r>
            <w:r>
              <w:rPr>
                <w:color w:val="212121"/>
                <w:sz w:val="16"/>
              </w:rPr>
              <w:t xml:space="preserve"> </w:t>
            </w:r>
            <w:r>
              <w:rPr>
                <w:color w:val="212121"/>
                <w:sz w:val="16"/>
              </w:rPr>
              <w:t xml:space="preserve"> </w:t>
            </w:r>
            <w:r>
              <w:rPr>
                <w:b/>
                <w:color w:val="212121"/>
                <w:sz w:val="16"/>
              </w:rPr>
              <w:t>35.60%</w:t>
            </w:r>
            <w:r>
              <w:rPr>
                <w:color w:val="212121"/>
                <w:sz w:val="16"/>
              </w:rPr>
              <w:t xml:space="preserve"> </w:t>
            </w:r>
            <w:r>
              <w:rPr>
                <w:color w:val="212121"/>
                <w:sz w:val="16"/>
              </w:rPr>
              <w:t>，与</w:t>
            </w:r>
            <w:r>
              <w:rPr>
                <w:color w:val="212121"/>
                <w:sz w:val="16"/>
              </w:rPr>
              <w:t xml:space="preserve"> </w:t>
            </w:r>
            <w:r>
              <w:rPr>
                <w:color w:val="212121"/>
                <w:sz w:val="16"/>
              </w:rPr>
              <w:t>"</w:t>
            </w:r>
            <w:r>
              <w:rPr>
                <w:color w:val="212121"/>
                <w:sz w:val="16"/>
              </w:rPr>
              <w:t xml:space="preserve"> </w:t>
            </w:r>
            <w:r>
              <w:rPr>
                <w:color w:val="212121"/>
                <w:sz w:val="16"/>
              </w:rPr>
              <w:t>充电桩数量不够</w:t>
            </w:r>
            <w:r>
              <w:rPr>
                <w:color w:val="212121"/>
                <w:sz w:val="16"/>
              </w:rPr>
              <w:t xml:space="preserve"> </w:t>
            </w:r>
            <w:r>
              <w:rPr>
                <w:color w:val="212121"/>
                <w:sz w:val="16"/>
              </w:rPr>
              <w:t>"</w:t>
            </w:r>
            <w:r>
              <w:rPr>
                <w:color w:val="212121"/>
                <w:sz w:val="16"/>
              </w:rPr>
              <w:t xml:space="preserve"> </w:t>
            </w:r>
            <w:r>
              <w:rPr>
                <w:color w:val="212121"/>
                <w:sz w:val="16"/>
              </w:rPr>
              <w:t>（</w:t>
            </w:r>
            <w:r>
              <w:rPr>
                <w:color w:val="212121"/>
                <w:sz w:val="16"/>
              </w:rPr>
              <w:t xml:space="preserve"> </w:t>
            </w:r>
            <w:r>
              <w:rPr>
                <w:color w:val="212121"/>
                <w:sz w:val="16"/>
              </w:rPr>
              <w:t>36.92%</w:t>
            </w:r>
            <w:r>
              <w:rPr>
                <w:color w:val="212121"/>
                <w:sz w:val="16"/>
              </w:rPr>
              <w:t xml:space="preserve"> </w:t>
            </w:r>
            <w:r>
              <w:rPr>
                <w:color w:val="212121"/>
                <w:sz w:val="16"/>
              </w:rPr>
              <w:t>）几乎并列第一，两项合计超过七成</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绿领环保《</w:t>
            </w:r>
            <w:r>
              <w:rPr>
                <w:color w:val="212121"/>
                <w:sz w:val="16"/>
              </w:rPr>
              <w:t xml:space="preserve"> </w:t>
            </w:r>
            <w:r>
              <w:rPr>
                <w:color w:val="212121"/>
                <w:sz w:val="16"/>
              </w:rPr>
              <w:t xml:space="preserve">2026 </w:t>
            </w:r>
            <w:r>
              <w:rPr>
                <w:color w:val="212121"/>
                <w:sz w:val="16"/>
              </w:rPr>
              <w:t xml:space="preserve"> </w:t>
            </w:r>
            <w:r>
              <w:rPr>
                <w:color w:val="212121"/>
                <w:sz w:val="16"/>
              </w:rPr>
              <w:t>天津中心城区新能源汽车公共充电设施友好度观察报告》（</w:t>
            </w:r>
            <w:r>
              <w:rPr>
                <w:color w:val="212121"/>
                <w:sz w:val="16"/>
              </w:rPr>
              <w:t xml:space="preserve"> </w:t>
            </w:r>
            <w:r>
              <w:rPr>
                <w:color w:val="212121"/>
                <w:sz w:val="16"/>
              </w:rPr>
              <w:t xml:space="preserve">606 </w:t>
            </w:r>
            <w:r>
              <w:rPr>
                <w:color w:val="212121"/>
                <w:sz w:val="16"/>
              </w:rPr>
              <w:t xml:space="preserve"> </w:t>
            </w:r>
            <w:r>
              <w:rPr>
                <w:color w:val="212121"/>
                <w:sz w:val="16"/>
              </w:rPr>
              <w:t>份问卷）</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公众意见分析</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45.24%</w:t>
            </w:r>
            <w:r>
              <w:rPr>
                <w:color w:val="212121"/>
                <w:sz w:val="16"/>
              </w:rPr>
              <w:t xml:space="preserve"> </w:t>
            </w:r>
            <w:r>
              <w:rPr>
                <w:color w:val="212121"/>
                <w:sz w:val="16"/>
              </w:rPr>
              <w:t xml:space="preserve"> </w:t>
            </w:r>
            <w:r>
              <w:rPr>
                <w:color w:val="212121"/>
                <w:sz w:val="16"/>
              </w:rPr>
              <w:t xml:space="preserve"> </w:t>
            </w:r>
            <w:r>
              <w:rPr>
                <w:color w:val="212121"/>
                <w:sz w:val="16"/>
              </w:rPr>
              <w:t>的新能源车主将</w:t>
            </w:r>
            <w:r>
              <w:rPr>
                <w:color w:val="212121"/>
                <w:sz w:val="16"/>
              </w:rPr>
              <w:t xml:space="preserve"> </w:t>
            </w:r>
            <w:r>
              <w:rPr>
                <w:color w:val="212121"/>
                <w:sz w:val="16"/>
              </w:rPr>
              <w:t>"</w:t>
            </w:r>
            <w:r>
              <w:rPr>
                <w:color w:val="212121"/>
                <w:sz w:val="16"/>
              </w:rPr>
              <w:t xml:space="preserve"> </w:t>
            </w:r>
            <w:r>
              <w:rPr>
                <w:color w:val="212121"/>
                <w:sz w:val="16"/>
              </w:rPr>
              <w:t>燃油车占位</w:t>
            </w:r>
            <w:r>
              <w:rPr>
                <w:color w:val="212121"/>
                <w:sz w:val="16"/>
              </w:rPr>
              <w:t xml:space="preserve"> </w:t>
            </w:r>
            <w:r>
              <w:rPr>
                <w:color w:val="212121"/>
                <w:sz w:val="16"/>
              </w:rPr>
              <w:t>"</w:t>
            </w:r>
            <w:r>
              <w:rPr>
                <w:color w:val="212121"/>
                <w:sz w:val="16"/>
              </w:rPr>
              <w:t xml:space="preserve"> </w:t>
            </w:r>
            <w:r>
              <w:rPr>
                <w:color w:val="212121"/>
                <w:sz w:val="16"/>
              </w:rPr>
              <w:t>列为充电设施最突出的痛点，居各项痛点之首</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杭州市消保委电动汽车充电服务问卷调查（</w:t>
            </w:r>
            <w:r>
              <w:rPr>
                <w:color w:val="212121"/>
                <w:sz w:val="16"/>
              </w:rPr>
              <w:t xml:space="preserve"> </w:t>
            </w: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2 </w:t>
            </w:r>
            <w:r>
              <w:rPr>
                <w:color w:val="212121"/>
                <w:sz w:val="16"/>
              </w:rPr>
              <w:t xml:space="preserve"> </w:t>
            </w:r>
            <w:r>
              <w:rPr>
                <w:color w:val="212121"/>
                <w:sz w:val="16"/>
              </w:rPr>
              <w:t>月，据媒体报道）</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用户问卷</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充电车位被非电动车占用</w:t>
            </w:r>
            <w:r>
              <w:rPr>
                <w:color w:val="212121"/>
                <w:sz w:val="16"/>
              </w:rPr>
              <w:t xml:space="preserve"> </w:t>
            </w:r>
            <w:r>
              <w:rPr>
                <w:color w:val="212121"/>
                <w:sz w:val="16"/>
              </w:rPr>
              <w:t>"</w:t>
            </w:r>
            <w:r>
              <w:rPr>
                <w:color w:val="212121"/>
                <w:sz w:val="16"/>
              </w:rPr>
              <w:t xml:space="preserve"> </w:t>
            </w:r>
            <w:r>
              <w:rPr>
                <w:color w:val="212121"/>
                <w:sz w:val="16"/>
              </w:rPr>
              <w:t>经常遇到</w:t>
            </w:r>
            <w:r>
              <w:rPr>
                <w:color w:val="212121"/>
                <w:sz w:val="16"/>
              </w:rPr>
              <w:t xml:space="preserve"> </w:t>
            </w:r>
            <w:r>
              <w:rPr>
                <w:color w:val="212121"/>
                <w:sz w:val="16"/>
              </w:rPr>
              <w:t>"50.17%</w:t>
            </w:r>
            <w:r>
              <w:rPr>
                <w:color w:val="212121"/>
                <w:sz w:val="16"/>
              </w:rPr>
              <w:t xml:space="preserve"> </w:t>
            </w:r>
            <w:r>
              <w:rPr>
                <w:color w:val="212121"/>
                <w:sz w:val="16"/>
              </w:rPr>
              <w:t>、</w:t>
            </w:r>
            <w:r>
              <w:rPr>
                <w:color w:val="212121"/>
                <w:sz w:val="16"/>
              </w:rPr>
              <w:t xml:space="preserve"> </w:t>
            </w:r>
            <w:r>
              <w:rPr>
                <w:color w:val="212121"/>
                <w:sz w:val="16"/>
              </w:rPr>
              <w:t>"</w:t>
            </w:r>
            <w:r>
              <w:rPr>
                <w:color w:val="212121"/>
                <w:sz w:val="16"/>
              </w:rPr>
              <w:t xml:space="preserve"> </w:t>
            </w:r>
            <w:r>
              <w:rPr>
                <w:color w:val="212121"/>
                <w:sz w:val="16"/>
              </w:rPr>
              <w:t>偶尔遇到</w:t>
            </w:r>
            <w:r>
              <w:rPr>
                <w:color w:val="212121"/>
                <w:sz w:val="16"/>
              </w:rPr>
              <w:t xml:space="preserve"> </w:t>
            </w:r>
            <w:r>
              <w:rPr>
                <w:color w:val="212121"/>
                <w:sz w:val="16"/>
              </w:rPr>
              <w:t>"38.01%</w:t>
            </w:r>
            <w:r>
              <w:rPr>
                <w:color w:val="212121"/>
                <w:sz w:val="16"/>
              </w:rPr>
              <w:t xml:space="preserve"> </w:t>
            </w:r>
            <w:r>
              <w:rPr>
                <w:color w:val="212121"/>
                <w:sz w:val="16"/>
              </w:rPr>
              <w:t>，合计</w:t>
            </w:r>
            <w:r>
              <w:rPr>
                <w:color w:val="212121"/>
                <w:sz w:val="16"/>
              </w:rPr>
              <w:t xml:space="preserve"> </w:t>
            </w:r>
            <w:r>
              <w:rPr>
                <w:color w:val="212121"/>
                <w:sz w:val="16"/>
              </w:rPr>
              <w:t xml:space="preserve"> </w:t>
            </w:r>
            <w:r>
              <w:rPr>
                <w:color w:val="212121"/>
                <w:sz w:val="16"/>
              </w:rPr>
              <w:t xml:space="preserve"> </w:t>
            </w:r>
            <w:r>
              <w:rPr>
                <w:b/>
                <w:color w:val="212121"/>
                <w:sz w:val="16"/>
              </w:rPr>
              <w:t>88.18%</w:t>
            </w:r>
            <w:r>
              <w:rPr>
                <w:color w:val="212121"/>
                <w:sz w:val="16"/>
              </w:rPr>
              <w:t xml:space="preserve"> （该数据未取得官方原文，仅作旁证）</w:t>
            </w:r>
          </w:p>
        </w:tc>
      </w:tr>
    </w:tbl>
    <w:p>
      <w:pPr>
        <w:jc w:val="both"/>
      </w:pPr>
      <w:r>
        <w:rPr>
          <w:rFonts w:ascii="微软雅黑" w:eastAsia="微软雅黑" w:hAnsi="微软雅黑" w:cs="微软雅黑" w:hint="eastAsia"/>
          <w:sz w:val="20"/>
          <w:lang w:eastAsia="zh-CN"/>
        </w:rPr>
        <w:t>绿领环保的调查还揭示了一个对本项目定价与产品设计有直接价值的细节：车主对</w:t>
      </w:r>
      <w:r>
        <w:rPr>
          <w:sz w:val="20"/>
        </w:rPr>
        <w:t>"</w:t>
      </w:r>
      <w:r>
        <w:rPr>
          <w:rFonts w:ascii="微软雅黑" w:eastAsia="微软雅黑" w:hAnsi="微软雅黑" w:cs="微软雅黑" w:hint="eastAsia"/>
          <w:sz w:val="20"/>
          <w:lang w:eastAsia="zh-CN"/>
        </w:rPr>
        <w:t>占位收费</w:t>
      </w:r>
      <w:r>
        <w:rPr>
          <w:sz w:val="20"/>
        </w:rPr>
        <w:t>"</w:t>
      </w:r>
      <w:r>
        <w:rPr>
          <w:rFonts w:ascii="微软雅黑" w:eastAsia="微软雅黑" w:hAnsi="微软雅黑" w:cs="微软雅黑" w:hint="eastAsia"/>
          <w:sz w:val="20"/>
          <w:lang w:eastAsia="zh-CN"/>
        </w:rPr>
        <w:t>并非一味反对</w:t>
      </w:r>
      <w:r>
        <w:rPr>
          <w:sz w:val="20"/>
        </w:rPr>
        <w:t>——</w:t>
      </w:r>
      <w:r>
        <w:rPr>
          <w:rFonts w:ascii="微软雅黑" w:eastAsia="微软雅黑" w:hAnsi="微软雅黑" w:cs="微软雅黑" w:hint="eastAsia"/>
          <w:b/>
          <w:sz w:val="20"/>
          <w:lang w:eastAsia="zh-CN"/>
        </w:rPr>
        <w:t>45% 有条件支持</w:t>
      </w:r>
      <w:r>
        <w:rPr>
          <w:rFonts w:ascii="微软雅黑" w:eastAsia="微软雅黑" w:hAnsi="微软雅黑" w:cs="微软雅黑" w:hint="eastAsia"/>
          <w:sz w:val="20"/>
          <w:lang w:eastAsia="zh-CN"/>
        </w:rPr>
        <w:t>（前提是设置免费缓冲期、标准透明、有挪车提醒），完全支持</w:t>
      </w:r>
      <w:r>
        <w:rPr>
          <w:sz w:val="20"/>
        </w:rPr>
        <w:t xml:space="preserve"> 15%</w:t>
      </w:r>
      <w:r>
        <w:rPr>
          <w:rFonts w:ascii="微软雅黑" w:eastAsia="微软雅黑" w:hAnsi="微软雅黑" w:cs="微软雅黑" w:hint="eastAsia"/>
          <w:sz w:val="20"/>
          <w:lang w:eastAsia="zh-CN"/>
        </w:rPr>
        <w:t>，明确反对</w:t>
      </w:r>
      <w:r>
        <w:rPr>
          <w:sz w:val="20"/>
        </w:rPr>
        <w:t xml:space="preserve"> 25%</w:t>
      </w:r>
      <w:r>
        <w:rPr>
          <w:rFonts w:ascii="微软雅黑" w:eastAsia="微软雅黑" w:hAnsi="微软雅黑" w:cs="微软雅黑" w:hint="eastAsia"/>
          <w:sz w:val="20"/>
          <w:lang w:eastAsia="zh-CN"/>
        </w:rPr>
        <w:t>。这说明市场的阻力不在于</w:t>
      </w:r>
      <w:r>
        <w:rPr>
          <w:sz w:val="20"/>
        </w:rPr>
        <w:t>"</w:t>
      </w:r>
      <w:r>
        <w:rPr>
          <w:rFonts w:ascii="微软雅黑" w:eastAsia="微软雅黑" w:hAnsi="微软雅黑" w:cs="微软雅黑" w:hint="eastAsia"/>
          <w:sz w:val="20"/>
          <w:lang w:eastAsia="zh-CN"/>
        </w:rPr>
        <w:t>要不要管</w:t>
      </w:r>
      <w:r>
        <w:rPr>
          <w:sz w:val="20"/>
        </w:rPr>
        <w:t>"</w:t>
      </w:r>
      <w:r>
        <w:rPr>
          <w:rFonts w:ascii="微软雅黑" w:eastAsia="微软雅黑" w:hAnsi="微软雅黑" w:cs="微软雅黑" w:hint="eastAsia"/>
          <w:sz w:val="20"/>
          <w:lang w:eastAsia="zh-CN"/>
        </w:rPr>
        <w:t>，而在于</w:t>
      </w:r>
      <w:r>
        <w:rPr>
          <w:rFonts w:ascii="微软雅黑" w:eastAsia="微软雅黑" w:hAnsi="微软雅黑" w:cs="微软雅黑" w:hint="eastAsia"/>
          <w:b/>
          <w:sz w:val="20"/>
          <w:lang w:eastAsia="zh-CN"/>
        </w:rPr>
        <w:t>管理手段是否公平、可解释、有提醒</w:t>
      </w:r>
      <w:r>
        <w:rPr>
          <w:rFonts w:ascii="微软雅黑" w:eastAsia="微软雅黑" w:hAnsi="微软雅黑" w:cs="微软雅黑" w:hint="eastAsia"/>
          <w:sz w:val="20"/>
          <w:lang w:eastAsia="zh-CN"/>
        </w:rPr>
        <w:t>。而这恰好是</w:t>
      </w:r>
      <w:r>
        <w:rPr>
          <w:sz w:val="20"/>
        </w:rPr>
        <w:t>"</w:t>
      </w:r>
      <w:r>
        <w:rPr>
          <w:rFonts w:ascii="微软雅黑" w:eastAsia="微软雅黑" w:hAnsi="微软雅黑" w:cs="微软雅黑" w:hint="eastAsia"/>
          <w:sz w:val="20"/>
          <w:lang w:eastAsia="zh-CN"/>
        </w:rPr>
        <w:t>先提醒、后处理</w:t>
      </w:r>
      <w:r>
        <w:rPr>
          <w:sz w:val="20"/>
        </w:rPr>
        <w:t>"</w:t>
      </w:r>
      <w:r>
        <w:rPr>
          <w:rFonts w:ascii="微软雅黑" w:eastAsia="微软雅黑" w:hAnsi="微软雅黑" w:cs="微软雅黑" w:hint="eastAsia"/>
          <w:sz w:val="20"/>
          <w:lang w:eastAsia="zh-CN"/>
        </w:rPr>
        <w:t>的产品逻辑：本项目默认动作是短信提醒车主移车，而不是直接处罚。</w:t>
      </w:r>
    </w:p>
    <w:p>
      <w:pPr>
        <w:pStyle w:val="Heading3"/>
        <w:spacing w:line="300" w:lineRule="auto"/>
      </w:pPr>
      <w:r>
        <w:rPr>
          <w:rFonts w:ascii="微软雅黑" w:hAnsi="微软雅黑" w:eastAsia="微软雅黑" w:cs="微软雅黑" w:hint="eastAsia"/>
          <w:b/>
          <w:color w:val="1565C0"/>
          <w:sz w:val="22"/>
          <w:lang w:eastAsia="zh-CN"/>
        </w:rPr>
        <w:t>2.4 目标市场测算</w:t>
      </w:r>
    </w:p>
    <w:p>
      <w:pPr>
        <w:jc w:val="both"/>
      </w:pPr>
      <w:r>
        <w:rPr>
          <w:rFonts w:ascii="微软雅黑" w:eastAsia="微软雅黑" w:hAnsi="微软雅黑" w:cs="微软雅黑" w:hint="eastAsia"/>
          <w:sz w:val="20"/>
          <w:lang w:eastAsia="zh-CN"/>
        </w:rPr>
        <w:t>测算方法：自下而上，以</w:t>
      </w:r>
      <w:r>
        <w:rPr>
          <w:rFonts w:ascii="微软雅黑" w:eastAsia="微软雅黑" w:hAnsi="微软雅黑" w:cs="微软雅黑" w:hint="eastAsia"/>
          <w:b/>
          <w:sz w:val="20"/>
          <w:lang w:eastAsia="zh-CN"/>
        </w:rPr>
        <w:t>纳入监管的充电车位数量</w:t>
      </w:r>
      <w:r>
        <w:rPr>
          <w:rFonts w:ascii="微软雅黑" w:eastAsia="微软雅黑" w:hAnsi="微软雅黑" w:cs="微软雅黑" w:hint="eastAsia"/>
          <w:sz w:val="20"/>
          <w:lang w:eastAsia="zh-CN"/>
        </w:rPr>
        <w:t>为计量单位，乘单位车位年费。所有假设均在文中列出，读者可自行替换参数复算。</w:t>
      </w:r>
    </w:p>
    <w:p>
      <w:pPr>
        <w:jc w:val="both"/>
      </w:pPr>
      <w:r>
        <w:rPr>
          <w:rFonts w:ascii="微软雅黑" w:eastAsia="微软雅黑" w:hAnsi="微软雅黑" w:cs="微软雅黑" w:hint="eastAsia"/>
          <w:b/>
          <w:sz w:val="20"/>
          <w:lang w:eastAsia="zh-CN"/>
        </w:rPr>
        <w:t>总体市场（TAM）</w:t>
      </w:r>
      <w:r>
        <w:rPr>
          <w:rFonts w:ascii="微软雅黑" w:eastAsia="微软雅黑" w:hAnsi="微软雅黑" w:cs="微软雅黑" w:hint="eastAsia"/>
          <w:sz w:val="20"/>
          <w:lang w:eastAsia="zh-CN"/>
        </w:rPr>
        <w:t>：以全国公共充电设施</w:t>
      </w:r>
      <w:r>
        <w:rPr>
          <w:sz w:val="20"/>
        </w:rPr>
        <w:t xml:space="preserve"> 500.9 </w:t>
      </w:r>
      <w:r>
        <w:rPr>
          <w:rFonts w:ascii="微软雅黑" w:eastAsia="微软雅黑" w:hAnsi="微软雅黑" w:cs="微软雅黑" w:hint="eastAsia"/>
          <w:sz w:val="20"/>
          <w:lang w:eastAsia="zh-CN"/>
        </w:rPr>
        <w:t>万个为基数，近似按</w:t>
      </w:r>
      <w:r>
        <w:rPr>
          <w:sz w:val="20"/>
        </w:rPr>
        <w:t xml:space="preserve"> 1 </w:t>
      </w:r>
      <w:r>
        <w:rPr>
          <w:rFonts w:ascii="微软雅黑" w:eastAsia="微软雅黑" w:hAnsi="微软雅黑" w:cs="微软雅黑" w:hint="eastAsia"/>
          <w:sz w:val="20"/>
          <w:lang w:eastAsia="zh-CN"/>
        </w:rPr>
        <w:t>桩对应</w:t>
      </w:r>
      <w:r>
        <w:rPr>
          <w:sz w:val="20"/>
        </w:rPr>
        <w:t xml:space="preserve"> 1 </w:t>
      </w:r>
      <w:r>
        <w:rPr>
          <w:rFonts w:ascii="微软雅黑" w:eastAsia="微软雅黑" w:hAnsi="微软雅黑" w:cs="微软雅黑" w:hint="eastAsia"/>
          <w:sz w:val="20"/>
          <w:lang w:eastAsia="zh-CN"/>
        </w:rPr>
        <w:t>个充电车位计，全国公共充电车位约</w:t>
      </w:r>
      <w:r>
        <w:rPr>
          <w:sz w:val="20"/>
        </w:rPr>
        <w:t xml:space="preserve"> 500 </w:t>
      </w:r>
      <w:r>
        <w:rPr>
          <w:rFonts w:ascii="微软雅黑" w:eastAsia="微软雅黑" w:hAnsi="微软雅黑" w:cs="微软雅黑" w:hint="eastAsia"/>
          <w:sz w:val="20"/>
          <w:lang w:eastAsia="zh-CN"/>
        </w:rPr>
        <w:t>万个。按单位监管服务费</w:t>
      </w:r>
      <w:r>
        <w:rPr>
          <w:sz w:val="20"/>
        </w:rPr>
        <w:t xml:space="preserve"> 200 </w:t>
      </w:r>
      <w:r>
        <w:rPr>
          <w:rFonts w:ascii="微软雅黑" w:eastAsia="微软雅黑" w:hAnsi="微软雅黑" w:cs="微软雅黑" w:hint="eastAsia"/>
          <w:sz w:val="20"/>
          <w:lang w:eastAsia="zh-CN"/>
        </w:rPr>
        <w:t>元</w:t>
      </w:r>
      <w:r>
        <w:rPr>
          <w:sz w:val="20"/>
        </w:rPr>
        <w:t>/</w:t>
      </w:r>
      <w:r>
        <w:rPr>
          <w:rFonts w:ascii="微软雅黑" w:eastAsia="微软雅黑" w:hAnsi="微软雅黑" w:cs="微软雅黑" w:hint="eastAsia"/>
          <w:sz w:val="20"/>
          <w:lang w:eastAsia="zh-CN"/>
        </w:rPr>
        <w:t>车位</w:t>
      </w:r>
      <w:r>
        <w:rPr>
          <w:sz w:val="20"/>
        </w:rPr>
        <w:t>·</w:t>
      </w:r>
      <w:r>
        <w:rPr>
          <w:rFonts w:ascii="微软雅黑" w:eastAsia="微软雅黑" w:hAnsi="微软雅黑" w:cs="微软雅黑" w:hint="eastAsia"/>
          <w:sz w:val="20"/>
          <w:lang w:eastAsia="zh-CN"/>
        </w:rPr>
        <w:t>年测算，</w:t>
      </w:r>
      <w:r>
        <w:rPr>
          <w:rFonts w:ascii="微软雅黑" w:eastAsia="微软雅黑" w:hAnsi="微软雅黑" w:cs="微软雅黑" w:hint="eastAsia"/>
          <w:b/>
          <w:sz w:val="20"/>
          <w:lang w:eastAsia="zh-CN"/>
        </w:rPr>
        <w:t>年度市场规模约 10 亿元</w:t>
      </w:r>
      <w:r>
        <w:rPr>
          <w:rFonts w:ascii="微软雅黑" w:eastAsia="微软雅黑" w:hAnsi="微软雅黑" w:cs="微软雅黑" w:hint="eastAsia"/>
          <w:sz w:val="20"/>
          <w:lang w:eastAsia="zh-CN"/>
        </w:rPr>
        <w:t>。若计入一次性平台部署费，单场站全周期价值更高，此处取年费口径作为保守下限。</w:t>
      </w:r>
    </w:p>
    <w:p>
      <w:pPr>
        <w:jc w:val="both"/>
      </w:pPr>
      <w:r>
        <w:rPr>
          <w:rFonts w:ascii="微软雅黑" w:eastAsia="微软雅黑" w:hAnsi="微软雅黑" w:cs="微软雅黑" w:hint="eastAsia"/>
          <w:b/>
          <w:sz w:val="20"/>
          <w:lang w:eastAsia="zh-CN"/>
        </w:rPr>
        <w:t>可服务市场（SAM）</w:t>
      </w:r>
      <w:r>
        <w:rPr>
          <w:rFonts w:ascii="微软雅黑" w:eastAsia="微软雅黑" w:hAnsi="微软雅黑" w:cs="微软雅黑" w:hint="eastAsia"/>
          <w:sz w:val="20"/>
          <w:lang w:eastAsia="zh-CN"/>
        </w:rPr>
        <w:t>：政策强制配建、管理主体明确、采购决策链清晰的公共机构场景。</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客户群</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规模基数</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车位测算假设</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可服务车位数</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全国高等学校</w:t>
            </w:r>
            <w:r>
              <w:rPr>
                <w:color w:val="212121"/>
                <w:sz w:val="16"/>
              </w:rPr>
              <w:t xml:space="preserve"> </w:t>
            </w:r>
            <w:r>
              <w:rPr>
                <w:color w:val="212121"/>
                <w:sz w:val="16"/>
              </w:rPr>
              <w:t xml:space="preserve"> 3196 </w:t>
            </w:r>
            <w:r>
              <w:rPr>
                <w:color w:val="212121"/>
                <w:sz w:val="16"/>
              </w:rPr>
              <w:t xml:space="preserve"> </w:t>
            </w:r>
            <w:r>
              <w:rPr>
                <w:color w:val="212121"/>
                <w:sz w:val="16"/>
              </w:rPr>
              <w:t>所（教育部，截至</w:t>
            </w:r>
            <w:r>
              <w:rPr>
                <w:color w:val="212121"/>
                <w:sz w:val="16"/>
              </w:rPr>
              <w:t xml:space="preserve"> </w:t>
            </w:r>
            <w:r>
              <w:rPr>
                <w:color w:val="212121"/>
                <w:sz w:val="16"/>
              </w:rPr>
              <w:t xml:space="preserve"> 2026-06-17</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w:t>
            </w:r>
            <w:r>
              <w:rPr>
                <w:color w:val="212121"/>
                <w:sz w:val="16"/>
              </w:rPr>
              <w:t xml:space="preserve"> </w:t>
            </w:r>
            <w:r>
              <w:rPr>
                <w:color w:val="212121"/>
                <w:sz w:val="16"/>
              </w:rPr>
              <w:t xml:space="preserve"> JS/T 302 </w:t>
            </w:r>
            <w:r>
              <w:rPr>
                <w:color w:val="212121"/>
                <w:sz w:val="16"/>
              </w:rPr>
              <w:t xml:space="preserve"> </w:t>
            </w:r>
            <w:r>
              <w:rPr>
                <w:color w:val="212121"/>
                <w:sz w:val="16"/>
              </w:rPr>
              <w:t>配建比例与中等校园停车场规模估算，取首期可监督</w:t>
            </w:r>
            <w:r>
              <w:rPr>
                <w:color w:val="212121"/>
                <w:sz w:val="16"/>
              </w:rPr>
              <w:t xml:space="preserve"> </w:t>
            </w:r>
            <w:r>
              <w:rPr>
                <w:color w:val="212121"/>
                <w:sz w:val="16"/>
              </w:rPr>
              <w:t xml:space="preserve"> 200 </w:t>
            </w:r>
            <w:r>
              <w:rPr>
                <w:color w:val="212121"/>
                <w:sz w:val="16"/>
              </w:rPr>
              <w:t xml:space="preserve"> </w:t>
            </w:r>
            <w:r>
              <w:rPr>
                <w:color w:val="212121"/>
                <w:sz w:val="16"/>
              </w:rPr>
              <w:t>个充电车位</w:t>
            </w:r>
            <w:r>
              <w:rPr>
                <w:color w:val="212121"/>
                <w:sz w:val="16"/>
              </w:rPr>
              <w:t xml:space="preserve"> </w:t>
            </w:r>
            <w:r>
              <w:rPr>
                <w:color w:val="212121"/>
                <w:sz w:val="16"/>
              </w:rPr>
              <w:t>/</w:t>
            </w:r>
            <w:r>
              <w:rPr>
                <w:color w:val="212121"/>
                <w:sz w:val="16"/>
              </w:rPr>
              <w:t xml:space="preserve"> </w:t>
            </w:r>
            <w:r>
              <w:rPr>
                <w:color w:val="212121"/>
                <w:sz w:val="16"/>
              </w:rPr>
              <w:t>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64 </w:t>
            </w:r>
            <w:r>
              <w:rPr>
                <w:color w:val="212121"/>
                <w:sz w:val="16"/>
              </w:rPr>
              <w:t xml:space="preserve"> </w:t>
            </w:r>
            <w:r>
              <w:rPr>
                <w:color w:val="212121"/>
                <w:sz w:val="16"/>
              </w:rPr>
              <w:t>万个</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党政机关、公立医院、公共文体场馆</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按高校场景规模的</w:t>
            </w:r>
            <w:r>
              <w:rPr>
                <w:color w:val="212121"/>
                <w:sz w:val="16"/>
              </w:rPr>
              <w:t xml:space="preserve"> </w:t>
            </w:r>
            <w:r>
              <w:rPr>
                <w:color w:val="212121"/>
                <w:sz w:val="16"/>
              </w:rPr>
              <w:t xml:space="preserve"> 2–3 </w:t>
            </w:r>
            <w:r>
              <w:rPr>
                <w:color w:val="212121"/>
                <w:sz w:val="16"/>
              </w:rPr>
              <w:t xml:space="preserve"> </w:t>
            </w:r>
            <w:r>
              <w:rPr>
                <w:color w:val="212121"/>
                <w:sz w:val="16"/>
              </w:rPr>
              <w:t>倍估算</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128–192 </w:t>
            </w:r>
            <w:r>
              <w:rPr>
                <w:color w:val="212121"/>
                <w:sz w:val="16"/>
              </w:rPr>
              <w:t xml:space="preserve"> </w:t>
            </w:r>
            <w:r>
              <w:rPr>
                <w:color w:val="212121"/>
                <w:sz w:val="16"/>
              </w:rPr>
              <w:t>万个</w:t>
            </w:r>
          </w:p>
        </w:tc>
      </w:tr>
    </w:tbl>
    <w:p>
      <w:pPr>
        <w:jc w:val="both"/>
      </w:pPr>
      <w:r>
        <w:rPr>
          <w:rFonts w:ascii="微软雅黑" w:eastAsia="微软雅黑" w:hAnsi="微软雅黑" w:cs="微软雅黑" w:hint="eastAsia"/>
          <w:sz w:val="20"/>
          <w:lang w:eastAsia="zh-CN"/>
        </w:rPr>
        <w:t>合计</w:t>
      </w:r>
      <w:r>
        <w:rPr>
          <w:sz w:val="20"/>
        </w:rPr>
        <w:t xml:space="preserve"> SAM </w:t>
      </w:r>
      <w:r>
        <w:rPr>
          <w:rFonts w:ascii="微软雅黑" w:eastAsia="微软雅黑" w:hAnsi="微软雅黑" w:cs="微软雅黑" w:hint="eastAsia"/>
          <w:sz w:val="20"/>
          <w:lang w:eastAsia="zh-CN"/>
        </w:rPr>
        <w:t>约</w:t>
      </w:r>
      <w:r>
        <w:rPr>
          <w:sz w:val="20"/>
        </w:rPr>
        <w:t xml:space="preserve"> </w:t>
      </w:r>
      <w:r>
        <w:rPr>
          <w:rFonts w:ascii="微软雅黑" w:eastAsia="微软雅黑" w:hAnsi="微软雅黑" w:cs="微软雅黑" w:hint="eastAsia"/>
          <w:b/>
          <w:sz w:val="20"/>
          <w:lang w:eastAsia="zh-CN"/>
        </w:rPr>
        <w:t>190–260 万个充电车位</w:t>
      </w:r>
      <w:r>
        <w:rPr>
          <w:rFonts w:ascii="微软雅黑" w:eastAsia="微软雅黑" w:hAnsi="微软雅黑" w:cs="微软雅黑" w:hint="eastAsia"/>
          <w:sz w:val="20"/>
          <w:lang w:eastAsia="zh-CN"/>
        </w:rPr>
        <w:t xml:space="preserve">，对应年度服务费市场约 </w:t>
      </w:r>
      <w:r>
        <w:rPr>
          <w:rFonts w:ascii="微软雅黑" w:eastAsia="微软雅黑" w:hAnsi="微软雅黑" w:cs="微软雅黑" w:hint="eastAsia"/>
          <w:b/>
          <w:sz w:val="20"/>
          <w:lang w:eastAsia="zh-CN"/>
        </w:rPr>
        <w:t>3.8–5.2 亿元</w:t>
      </w:r>
      <w:r>
        <w:rPr>
          <w:rFonts w:ascii="微软雅黑" w:eastAsia="微软雅黑" w:hAnsi="微软雅黑" w:cs="微软雅黑" w:hint="eastAsia"/>
          <w:sz w:val="20"/>
          <w:lang w:eastAsia="zh-CN"/>
        </w:rPr>
        <w:t>。测算中的</w:t>
      </w:r>
      <w:r>
        <w:rPr>
          <w:sz w:val="20"/>
        </w:rPr>
        <w:t>"</w:t>
      </w:r>
      <w:r>
        <w:rPr>
          <w:rFonts w:ascii="微软雅黑" w:eastAsia="微软雅黑" w:hAnsi="微软雅黑" w:cs="微软雅黑" w:hint="eastAsia"/>
          <w:sz w:val="20"/>
          <w:lang w:eastAsia="zh-CN"/>
        </w:rPr>
        <w:t>首期可监督</w:t>
      </w:r>
      <w:r>
        <w:rPr>
          <w:sz w:val="20"/>
        </w:rPr>
        <w:t xml:space="preserve"> 200 </w:t>
      </w:r>
      <w:r>
        <w:rPr>
          <w:rFonts w:ascii="微软雅黑" w:eastAsia="微软雅黑" w:hAnsi="微软雅黑" w:cs="微软雅黑" w:hint="eastAsia"/>
          <w:sz w:val="20"/>
          <w:lang w:eastAsia="zh-CN"/>
        </w:rPr>
        <w:t>个车位</w:t>
      </w:r>
      <w:r>
        <w:rPr>
          <w:sz w:val="20"/>
        </w:rPr>
        <w:t>/</w:t>
      </w:r>
      <w:r>
        <w:rPr>
          <w:rFonts w:ascii="微软雅黑" w:eastAsia="微软雅黑" w:hAnsi="微软雅黑" w:cs="微软雅黑" w:hint="eastAsia"/>
          <w:sz w:val="20"/>
          <w:lang w:eastAsia="zh-CN"/>
        </w:rPr>
        <w:t>校</w:t>
      </w:r>
      <w:r>
        <w:rPr>
          <w:sz w:val="20"/>
        </w:rPr>
        <w:t>"</w:t>
      </w:r>
      <w:r>
        <w:rPr>
          <w:rFonts w:ascii="微软雅黑" w:eastAsia="微软雅黑" w:hAnsi="微软雅黑" w:cs="微软雅黑" w:hint="eastAsia"/>
          <w:sz w:val="20"/>
          <w:lang w:eastAsia="zh-CN"/>
        </w:rPr>
        <w:t>是保守取值：政策要求按总车位</w:t>
      </w:r>
      <w:r>
        <w:rPr>
          <w:sz w:val="20"/>
        </w:rPr>
        <w:t xml:space="preserve"> 25% </w:t>
      </w:r>
      <w:r>
        <w:rPr>
          <w:rFonts w:ascii="微软雅黑" w:eastAsia="微软雅黑" w:hAnsi="微软雅黑" w:cs="微软雅黑" w:hint="eastAsia"/>
          <w:sz w:val="20"/>
          <w:lang w:eastAsia="zh-CN"/>
        </w:rPr>
        <w:t>配建，而项目首期只需覆盖其中管理矛盾最集中的核心区域。</w:t>
      </w:r>
    </w:p>
    <w:p>
      <w:pPr>
        <w:jc w:val="both"/>
      </w:pPr>
      <w:r>
        <w:rPr>
          <w:rFonts w:ascii="微软雅黑" w:eastAsia="微软雅黑" w:hAnsi="微软雅黑" w:cs="微软雅黑" w:hint="eastAsia"/>
          <w:b/>
          <w:sz w:val="20"/>
          <w:lang w:eastAsia="zh-CN"/>
        </w:rPr>
        <w:t>可获取市场（SOM，三年）</w:t>
      </w:r>
      <w:r>
        <w:rPr>
          <w:rFonts w:ascii="微软雅黑" w:eastAsia="微软雅黑" w:hAnsi="微软雅黑" w:cs="微软雅黑" w:hint="eastAsia"/>
          <w:sz w:val="20"/>
          <w:lang w:eastAsia="zh-CN"/>
        </w:rPr>
        <w:t>：以北京地区高校及周边公共机构为起步半径，三年累计签约约</w:t>
      </w:r>
      <w:r>
        <w:rPr>
          <w:sz w:val="20"/>
        </w:rPr>
        <w:t xml:space="preserve"> 41 </w:t>
      </w:r>
      <w:r>
        <w:rPr>
          <w:rFonts w:ascii="微软雅黑" w:eastAsia="微软雅黑" w:hAnsi="微软雅黑" w:cs="微软雅黑" w:hint="eastAsia"/>
          <w:sz w:val="20"/>
          <w:lang w:eastAsia="zh-CN"/>
        </w:rPr>
        <w:t>个场站，对应约</w:t>
      </w:r>
      <w:r>
        <w:rPr>
          <w:sz w:val="20"/>
        </w:rPr>
        <w:t xml:space="preserve"> 3280 </w:t>
      </w:r>
      <w:r>
        <w:rPr>
          <w:rFonts w:ascii="微软雅黑" w:eastAsia="微软雅黑" w:hAnsi="微软雅黑" w:cs="微软雅黑" w:hint="eastAsia"/>
          <w:sz w:val="20"/>
          <w:lang w:eastAsia="zh-CN"/>
        </w:rPr>
        <w:t>个监管车位；三年累计合同额约</w:t>
      </w:r>
      <w:r>
        <w:rPr>
          <w:sz w:val="20"/>
        </w:rPr>
        <w:t xml:space="preserve"> 220 </w:t>
      </w:r>
      <w:r>
        <w:rPr>
          <w:rFonts w:ascii="微软雅黑" w:eastAsia="微软雅黑" w:hAnsi="微软雅黑" w:cs="微软雅黑" w:hint="eastAsia"/>
          <w:sz w:val="20"/>
          <w:lang w:eastAsia="zh-CN"/>
        </w:rPr>
        <w:t>万元，第</w:t>
      </w:r>
      <w:r>
        <w:rPr>
          <w:sz w:val="20"/>
        </w:rPr>
        <w:t xml:space="preserve"> 3 </w:t>
      </w:r>
      <w:r>
        <w:rPr>
          <w:rFonts w:ascii="微软雅黑" w:eastAsia="微软雅黑" w:hAnsi="微软雅黑" w:cs="微软雅黑" w:hint="eastAsia"/>
          <w:sz w:val="20"/>
          <w:lang w:eastAsia="zh-CN"/>
        </w:rPr>
        <w:t>年稳态年化收入约</w:t>
      </w:r>
      <w:r>
        <w:rPr>
          <w:sz w:val="20"/>
        </w:rPr>
        <w:t xml:space="preserve"> 140.6 </w:t>
      </w:r>
      <w:r>
        <w:rPr>
          <w:rFonts w:ascii="微软雅黑" w:eastAsia="微软雅黑" w:hAnsi="微软雅黑" w:cs="微软雅黑" w:hint="eastAsia"/>
          <w:sz w:val="20"/>
          <w:lang w:eastAsia="zh-CN"/>
        </w:rPr>
        <w:t>万元。占</w:t>
      </w:r>
      <w:r>
        <w:rPr>
          <w:sz w:val="20"/>
        </w:rPr>
        <w:t xml:space="preserve"> SAM </w:t>
      </w:r>
      <w:r>
        <w:rPr>
          <w:rFonts w:ascii="微软雅黑" w:eastAsia="微软雅黑" w:hAnsi="微软雅黑" w:cs="微软雅黑" w:hint="eastAsia"/>
          <w:sz w:val="20"/>
          <w:lang w:eastAsia="zh-CN"/>
        </w:rPr>
        <w:t>的比例约</w:t>
      </w:r>
      <w:r>
        <w:rPr>
          <w:sz w:val="20"/>
        </w:rPr>
        <w:t xml:space="preserve"> 0.1%</w:t>
      </w:r>
      <w:r>
        <w:rPr>
          <w:rFonts w:ascii="微软雅黑" w:eastAsia="微软雅黑" w:hAnsi="微软雅黑" w:cs="微软雅黑" w:hint="eastAsia"/>
          <w:sz w:val="20"/>
          <w:lang w:eastAsia="zh-CN"/>
        </w:rPr>
        <w:t>，目标设定留有充分余量。</w:t>
      </w:r>
    </w:p>
    <w:p>
      <w:pPr>
        <w:spacing w:before="264" w:after="264"/>
        <w:jc w:val="both"/>
        <w:pBdr>
          <w:left w:val="single" w:sz="24" w:space="0" w:color="1565C0"/>
        </w:pBdr>
        <w:shd w:val="clear" w:color="auto" w:fill="EAF1FB"/>
      </w:pPr>
      <w:r>
        <w:rPr>
          <w:rFonts w:ascii="微软雅黑" w:eastAsia="微软雅黑" w:hAnsi="微软雅黑" w:cs="微软雅黑" w:hint="eastAsia"/>
          <w:sz w:val="20"/>
          <w:lang w:eastAsia="zh-CN"/>
        </w:rPr>
        <w:t>说明：</w:t>
      </w:r>
      <w:r>
        <w:rPr>
          <w:sz w:val="20"/>
        </w:rPr>
        <w:t xml:space="preserve">SOM </w:t>
      </w:r>
      <w:r>
        <w:rPr>
          <w:rFonts w:ascii="微软雅黑" w:eastAsia="微软雅黑" w:hAnsi="微软雅黑" w:cs="微软雅黑" w:hint="eastAsia"/>
          <w:sz w:val="20"/>
          <w:lang w:eastAsia="zh-CN"/>
        </w:rPr>
        <w:t>的单位经济与逐年分解见第八章。</w:t>
      </w:r>
      <w:r>
        <w:rPr>
          <w:sz w:val="20"/>
        </w:rPr>
        <w:t xml:space="preserve">SOM </w:t>
      </w:r>
      <w:r>
        <w:rPr>
          <w:rFonts w:ascii="微软雅黑" w:eastAsia="微软雅黑" w:hAnsi="微软雅黑" w:cs="微软雅黑" w:hint="eastAsia"/>
          <w:sz w:val="20"/>
          <w:lang w:eastAsia="zh-CN"/>
        </w:rPr>
        <w:t>之所以取</w:t>
      </w:r>
      <w:r>
        <w:rPr>
          <w:sz w:val="20"/>
        </w:rPr>
        <w:t>"</w:t>
      </w:r>
      <w:r>
        <w:rPr>
          <w:rFonts w:ascii="微软雅黑" w:eastAsia="微软雅黑" w:hAnsi="微软雅黑" w:cs="微软雅黑" w:hint="eastAsia"/>
          <w:sz w:val="20"/>
          <w:lang w:eastAsia="zh-CN"/>
        </w:rPr>
        <w:t>场站</w:t>
      </w:r>
      <w:r>
        <w:rPr>
          <w:sz w:val="20"/>
        </w:rPr>
        <w:t>"</w:t>
      </w:r>
      <w:r>
        <w:rPr>
          <w:rFonts w:ascii="微软雅黑" w:eastAsia="微软雅黑" w:hAnsi="微软雅黑" w:cs="微软雅黑" w:hint="eastAsia"/>
          <w:sz w:val="20"/>
          <w:lang w:eastAsia="zh-CN"/>
        </w:rPr>
        <w:t>而非</w:t>
      </w:r>
      <w:r>
        <w:rPr>
          <w:sz w:val="20"/>
        </w:rPr>
        <w:t>"</w:t>
      </w:r>
      <w:r>
        <w:rPr>
          <w:rFonts w:ascii="微软雅黑" w:eastAsia="微软雅黑" w:hAnsi="微软雅黑" w:cs="微软雅黑" w:hint="eastAsia"/>
          <w:sz w:val="20"/>
          <w:lang w:eastAsia="zh-CN"/>
        </w:rPr>
        <w:t>车位</w:t>
      </w:r>
      <w:r>
        <w:rPr>
          <w:sz w:val="20"/>
        </w:rPr>
        <w:t>"</w:t>
      </w:r>
      <w:r>
        <w:rPr>
          <w:rFonts w:ascii="微软雅黑" w:eastAsia="微软雅黑" w:hAnsi="微软雅黑" w:cs="微软雅黑" w:hint="eastAsia"/>
          <w:sz w:val="20"/>
          <w:lang w:eastAsia="zh-CN"/>
        </w:rPr>
        <w:t>为推进单位，是因为采购与决策发生在场站（学校</w:t>
      </w:r>
      <w:r>
        <w:rPr>
          <w:sz w:val="20"/>
        </w:rPr>
        <w:t xml:space="preserve"> / </w:t>
      </w:r>
      <w:r>
        <w:rPr>
          <w:rFonts w:ascii="微软雅黑" w:eastAsia="微软雅黑" w:hAnsi="微软雅黑" w:cs="微软雅黑" w:hint="eastAsia"/>
          <w:sz w:val="20"/>
          <w:lang w:eastAsia="zh-CN"/>
        </w:rPr>
        <w:t>机构）层面。</w:t>
      </w:r>
    </w:p>
    <w:p>
      <w:pPr>
        <w:pStyle w:val="Heading3"/>
        <w:spacing w:line="300" w:lineRule="auto"/>
      </w:pPr>
      <w:r>
        <w:rPr>
          <w:rFonts w:ascii="微软雅黑" w:hAnsi="微软雅黑" w:eastAsia="微软雅黑" w:cs="微软雅黑" w:hint="eastAsia"/>
          <w:b/>
          <w:color w:val="1565C0"/>
          <w:sz w:val="22"/>
          <w:lang w:eastAsia="zh-CN"/>
        </w:rPr>
        <w:t>2.5 目标客户画像与优先级</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优先级</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客户类型</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核心诉求</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付费意愿驱动</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触达路径</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高校后勤</w:t>
            </w:r>
            <w:r>
              <w:rPr>
                <w:color w:val="212121"/>
                <w:sz w:val="16"/>
              </w:rPr>
              <w:t xml:space="preserve"> </w:t>
            </w:r>
            <w:r>
              <w:rPr>
                <w:color w:val="212121"/>
                <w:sz w:val="16"/>
              </w:rPr>
              <w:t xml:space="preserve"> / </w:t>
            </w:r>
            <w:r>
              <w:rPr>
                <w:color w:val="212121"/>
                <w:sz w:val="16"/>
              </w:rPr>
              <w:t xml:space="preserve"> </w:t>
            </w:r>
            <w:r>
              <w:rPr>
                <w:color w:val="212121"/>
                <w:sz w:val="16"/>
              </w:rPr>
              <w:t>校园充电设施管理部门</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减少人工巡查、留下可考核记录、应对师生投诉</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政策合规</w:t>
            </w:r>
            <w:r>
              <w:rPr>
                <w:color w:val="212121"/>
                <w:sz w:val="16"/>
              </w:rPr>
              <w:t xml:space="preserve"> </w:t>
            </w:r>
            <w:r>
              <w:rPr>
                <w:color w:val="212121"/>
                <w:sz w:val="16"/>
              </w:rPr>
              <w:t xml:space="preserve"> + </w:t>
            </w:r>
            <w:r>
              <w:rPr>
                <w:color w:val="212121"/>
                <w:sz w:val="16"/>
              </w:rPr>
              <w:t xml:space="preserve"> </w:t>
            </w:r>
            <w:r>
              <w:rPr>
                <w:color w:val="212121"/>
                <w:sz w:val="16"/>
              </w:rPr>
              <w:t>服务体验考核</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母校示范场站</w:t>
            </w:r>
            <w:r>
              <w:rPr>
                <w:color w:val="212121"/>
                <w:sz w:val="16"/>
              </w:rPr>
              <w:t xml:space="preserve"> </w:t>
            </w:r>
            <w:r>
              <w:rPr>
                <w:color w:val="212121"/>
                <w:sz w:val="16"/>
              </w:rPr>
              <w:t xml:space="preserve"> → </w:t>
            </w:r>
            <w:r>
              <w:rPr>
                <w:color w:val="212121"/>
                <w:sz w:val="16"/>
              </w:rPr>
              <w:t xml:space="preserve"> </w:t>
            </w:r>
            <w:r>
              <w:rPr>
                <w:color w:val="212121"/>
                <w:sz w:val="16"/>
              </w:rPr>
              <w:t>北京高校后勤联盟</w:t>
            </w:r>
            <w:r>
              <w:rPr>
                <w:color w:val="212121"/>
                <w:sz w:val="16"/>
              </w:rPr>
              <w:t xml:space="preserve"> </w:t>
            </w:r>
            <w:r>
              <w:rPr>
                <w:color w:val="212121"/>
                <w:sz w:val="16"/>
              </w:rPr>
              <w:t xml:space="preserve"> / </w:t>
            </w:r>
            <w:r>
              <w:rPr>
                <w:color w:val="212121"/>
                <w:sz w:val="16"/>
              </w:rPr>
              <w:t xml:space="preserve"> </w:t>
            </w:r>
            <w:r>
              <w:rPr>
                <w:color w:val="212121"/>
                <w:sz w:val="16"/>
              </w:rPr>
              <w:t>高校间走访</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党政机关、事业单位后勤部门</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满足</w:t>
            </w:r>
            <w:r>
              <w:rPr>
                <w:color w:val="212121"/>
                <w:sz w:val="16"/>
              </w:rPr>
              <w:t xml:space="preserve"> </w:t>
            </w:r>
            <w:r>
              <w:rPr>
                <w:color w:val="212121"/>
                <w:sz w:val="16"/>
              </w:rPr>
              <w:t xml:space="preserve"> JS/T 302 </w:t>
            </w:r>
            <w:r>
              <w:rPr>
                <w:color w:val="212121"/>
                <w:sz w:val="16"/>
              </w:rPr>
              <w:t xml:space="preserve"> </w:t>
            </w:r>
            <w:r>
              <w:rPr>
                <w:color w:val="212121"/>
                <w:sz w:val="16"/>
              </w:rPr>
              <w:t>要求的运行管理与安全留痕</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行业标准强制</w:t>
            </w:r>
            <w:r>
              <w:rPr>
                <w:color w:val="212121"/>
                <w:sz w:val="16"/>
              </w:rPr>
              <w:t xml:space="preserve"> </w:t>
            </w:r>
            <w:r>
              <w:rPr>
                <w:color w:val="212121"/>
                <w:sz w:val="16"/>
              </w:rPr>
              <w:t xml:space="preserve"> + </w:t>
            </w:r>
            <w:r>
              <w:rPr>
                <w:color w:val="212121"/>
                <w:sz w:val="16"/>
              </w:rPr>
              <w:t xml:space="preserve"> </w:t>
            </w:r>
            <w:r>
              <w:rPr>
                <w:color w:val="212121"/>
                <w:sz w:val="16"/>
              </w:rPr>
              <w:t>上级检查</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属地机关事务管理部门</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公立医院、公共文体场馆</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短时停靠的充电车位周转</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对外开放后的纠纷处理</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主管部门推荐</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园区、写字楼、公共停车场运营方</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提高车位周转率、提升充电桩利用率</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经营收益</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与充电运营商合作</w:t>
            </w:r>
          </w:p>
        </w:tc>
      </w:tr>
    </w:tbl>
    <w:p>
      <w:bookmarkStart w:id="14" w:name="_Toc_section_3"/>
      <w:bookmarkStart w:id="2" w:name="section-3"/>
      <w:pPr>
        <w:pStyle w:val="Heading2"/>
        <w:spacing w:line="300" w:lineRule="auto"/>
      </w:pPr>
      <w:bookmarkEnd w:id="2"/>
      <w:r>
        <w:rPr>
          <w:rFonts w:ascii="微软雅黑" w:hAnsi="微软雅黑" w:eastAsia="微软雅黑" w:cs="微软雅黑" w:hint="eastAsia"/>
          <w:b/>
          <w:color w:val="1A237E"/>
          <w:sz w:val="26"/>
          <w:lang w:eastAsia="zh-CN"/>
        </w:rPr>
        <w:t>三、产品与服务</w:t>
      </w:r>
      <w:bookmarkEnd w:id="14"/>
    </w:p>
    <w:p>
      <w:pPr>
        <w:jc w:val="both"/>
      </w:pPr>
      <w:r>
        <w:rPr>
          <w:rFonts w:ascii="微软雅黑" w:eastAsia="微软雅黑" w:hAnsi="微软雅黑" w:cs="微软雅黑" w:hint="eastAsia"/>
          <w:sz w:val="20"/>
          <w:lang w:eastAsia="zh-CN"/>
        </w:rPr>
        <w:t>本章说明产品定位、业务闭环、功能模块、技术方案、技术壁垒与合规安排。</w:t>
      </w:r>
    </w:p>
    <w:p>
      <w:pPr>
        <w:pStyle w:val="Heading3"/>
        <w:spacing w:line="300" w:lineRule="auto"/>
      </w:pPr>
      <w:r>
        <w:rPr>
          <w:rFonts w:ascii="微软雅黑" w:hAnsi="微软雅黑" w:eastAsia="微软雅黑" w:cs="微软雅黑" w:hint="eastAsia"/>
          <w:b/>
          <w:color w:val="1565C0"/>
          <w:sz w:val="22"/>
          <w:lang w:eastAsia="zh-CN"/>
        </w:rPr>
        <w:t>3.1 产品定位</w:t>
      </w:r>
    </w:p>
    <w:p>
      <w:pPr>
        <w:jc w:val="both"/>
      </w:pPr>
      <w:r>
        <w:rPr>
          <w:rFonts w:ascii="微软雅黑" w:eastAsia="微软雅黑" w:hAnsi="微软雅黑" w:cs="微软雅黑" w:hint="eastAsia"/>
          <w:sz w:val="20"/>
          <w:lang w:eastAsia="zh-CN"/>
        </w:rPr>
        <w:t>本项目交付的</w:t>
      </w:r>
      <w:r>
        <w:rPr>
          <w:rFonts w:ascii="微软雅黑" w:eastAsia="微软雅黑" w:hAnsi="微软雅黑" w:cs="微软雅黑" w:hint="eastAsia"/>
          <w:b/>
          <w:sz w:val="20"/>
          <w:lang w:eastAsia="zh-CN"/>
        </w:rPr>
        <w:t>不是硬件，而是"识别 + 判断 + 提醒 + 留痕"的管理能力</w:t>
      </w:r>
      <w:r>
        <w:rPr>
          <w:rFonts w:ascii="微软雅黑" w:eastAsia="微软雅黑" w:hAnsi="微软雅黑" w:cs="微软雅黑" w:hint="eastAsia"/>
          <w:sz w:val="20"/>
          <w:lang w:eastAsia="zh-CN"/>
        </w:rPr>
        <w:t>。产品优先部署在客户已有的摄像头与服务器上；只有当现场没有可用算力时，才配置边缘计算盒。这一定位决定了三件事：交付成本低、部署周期短、客户的决策阻力小。</w:t>
      </w:r>
    </w:p>
    <w:p>
      <w:pPr>
        <w:pStyle w:val="Heading3"/>
        <w:spacing w:line="300" w:lineRule="auto"/>
      </w:pPr>
      <w:r>
        <w:rPr>
          <w:rFonts w:ascii="微软雅黑" w:hAnsi="微软雅黑" w:eastAsia="微软雅黑" w:cs="微软雅黑" w:hint="eastAsia"/>
          <w:b/>
          <w:color w:val="1565C0"/>
          <w:sz w:val="22"/>
          <w:lang w:eastAsia="zh-CN"/>
        </w:rPr>
        <w:t>3.2 核心业务闭环</w:t>
      </w:r>
    </w:p>
    <w:p>
      <w:pPr>
        <w:spacing w:line="300" w:lineRule="auto"/>
        <w:jc w:val="both"/>
        <w:shd w:val="clear" w:color="auto" w:fill="F5F7FA"/>
      </w:pPr>
      <w:r>
        <w:rPr>
          <w:rFonts w:ascii="微软雅黑" w:eastAsia="微软雅黑" w:hAnsi="微软雅黑" w:cs="微软雅黑" w:hint="eastAsia"/>
          <w:sz w:val="20"/>
          <w:lang w:eastAsia="zh-CN"/>
        </w:rPr>
        <w:t>抽帧</w:t>
      </w:r>
      <w:r>
        <w:rPr>
          <w:sz w:val="20"/>
        </w:rPr>
        <w:t xml:space="preserve"> → </w:t>
      </w:r>
      <w:r>
        <w:rPr>
          <w:rFonts w:ascii="微软雅黑" w:eastAsia="微软雅黑" w:hAnsi="微软雅黑" w:cs="微软雅黑" w:hint="eastAsia"/>
          <w:sz w:val="20"/>
          <w:lang w:eastAsia="zh-CN"/>
        </w:rPr>
        <w:t>车辆检测</w:t>
      </w:r>
      <w:r>
        <w:rPr>
          <w:sz w:val="20"/>
        </w:rPr>
        <w:t xml:space="preserve"> → </w:t>
      </w:r>
      <w:r>
        <w:rPr>
          <w:rFonts w:ascii="微软雅黑" w:eastAsia="微软雅黑" w:hAnsi="微软雅黑" w:cs="微软雅黑" w:hint="eastAsia"/>
          <w:sz w:val="20"/>
          <w:lang w:eastAsia="zh-CN"/>
        </w:rPr>
        <w:t>车牌识别（号码</w:t>
      </w:r>
      <w:r>
        <w:rPr>
          <w:sz w:val="20"/>
        </w:rPr>
        <w:t xml:space="preserve"> + </w:t>
      </w:r>
      <w:r>
        <w:rPr>
          <w:rFonts w:ascii="微软雅黑" w:eastAsia="微软雅黑" w:hAnsi="微软雅黑" w:cs="微软雅黑" w:hint="eastAsia"/>
          <w:sz w:val="20"/>
          <w:lang w:eastAsia="zh-CN"/>
        </w:rPr>
        <w:t>类型）</w:t>
        <w:br/>
      </w:r>
      <w:r>
        <w:rPr>
          <w:sz w:val="20"/>
        </w:rPr>
        <w:t xml:space="preserve"> → </w:t>
      </w:r>
      <w:r>
        <w:rPr>
          <w:rFonts w:ascii="微软雅黑" w:eastAsia="微软雅黑" w:hAnsi="微软雅黑" w:cs="微软雅黑" w:hint="eastAsia"/>
          <w:sz w:val="20"/>
          <w:lang w:eastAsia="zh-CN"/>
        </w:rPr>
        <w:t>查库关联（车辆</w:t>
      </w:r>
      <w:r>
        <w:rPr>
          <w:sz w:val="20"/>
        </w:rPr>
        <w:t xml:space="preserve"> / </w:t>
      </w:r>
      <w:r>
        <w:rPr>
          <w:rFonts w:ascii="微软雅黑" w:eastAsia="微软雅黑" w:hAnsi="微软雅黑" w:cs="微软雅黑" w:hint="eastAsia"/>
          <w:sz w:val="20"/>
          <w:lang w:eastAsia="zh-CN"/>
        </w:rPr>
        <w:t>充电桩绑定）</w:t>
      </w:r>
      <w:r>
        <w:rPr>
          <w:sz w:val="20"/>
        </w:rPr>
        <w:t xml:space="preserve">→ </w:t>
      </w:r>
      <w:r>
        <w:rPr>
          <w:rFonts w:ascii="微软雅黑" w:eastAsia="微软雅黑" w:hAnsi="微软雅黑" w:cs="微软雅黑" w:hint="eastAsia"/>
          <w:sz w:val="20"/>
          <w:lang w:eastAsia="zh-CN"/>
        </w:rPr>
        <w:t>获取充电状态</w:t>
        <w:br/>
      </w:r>
      <w:r>
        <w:rPr>
          <w:sz w:val="20"/>
        </w:rPr>
        <w:t xml:space="preserve"> → </w:t>
      </w:r>
      <w:r>
        <w:rPr>
          <w:rFonts w:ascii="微软雅黑" w:eastAsia="微软雅黑" w:hAnsi="微软雅黑" w:cs="微软雅黑" w:hint="eastAsia"/>
          <w:sz w:val="20"/>
          <w:lang w:eastAsia="zh-CN"/>
        </w:rPr>
        <w:t>违规判断（规则引擎）</w:t>
      </w:r>
      <w:r>
        <w:rPr>
          <w:sz w:val="20"/>
        </w:rPr>
        <w:t xml:space="preserve">→ </w:t>
      </w:r>
      <w:r>
        <w:rPr>
          <w:rFonts w:ascii="微软雅黑" w:eastAsia="微软雅黑" w:hAnsi="微软雅黑" w:cs="微软雅黑" w:hint="eastAsia"/>
          <w:sz w:val="20"/>
          <w:lang w:eastAsia="zh-CN"/>
        </w:rPr>
        <w:t>命中则短信提醒</w:t>
      </w:r>
      <w:r>
        <w:rPr>
          <w:sz w:val="20"/>
        </w:rPr>
        <w:t xml:space="preserve"> + </w:t>
      </w:r>
      <w:r>
        <w:rPr>
          <w:rFonts w:ascii="微软雅黑" w:eastAsia="微软雅黑" w:hAnsi="微软雅黑" w:cs="微软雅黑" w:hint="eastAsia"/>
          <w:sz w:val="20"/>
          <w:lang w:eastAsia="zh-CN"/>
        </w:rPr>
        <w:t>落库</w:t>
        <w:br/>
      </w:r>
      <w:r>
        <w:rPr>
          <w:sz w:val="20"/>
        </w:rPr>
        <w:t xml:space="preserve"> → </w:t>
      </w:r>
      <w:r>
        <w:rPr>
          <w:rFonts w:ascii="微软雅黑" w:eastAsia="微软雅黑" w:hAnsi="微软雅黑" w:cs="微软雅黑" w:hint="eastAsia"/>
          <w:sz w:val="20"/>
          <w:lang w:eastAsia="zh-CN"/>
        </w:rPr>
        <w:t>后台可视化展示</w:t>
      </w:r>
    </w:p>
    <w:p>
      <w:pPr>
        <w:jc w:val="both"/>
      </w:pPr>
      <w:r>
        <w:rPr>
          <w:rFonts w:ascii="微软雅黑" w:eastAsia="微软雅黑" w:hAnsi="微软雅黑" w:cs="微软雅黑" w:hint="eastAsia"/>
          <w:sz w:val="20"/>
          <w:lang w:eastAsia="zh-CN"/>
        </w:rPr>
        <w:t>四条判定规则：</w:t>
      </w:r>
    </w:p>
    <w:p>
      <w:pPr>
        <w:pStyle w:val="ListNumber"/>
        <w:numPr>
          <w:ilvl w:val="0"/>
          <w:numId w:val="12"/>
        </w:numPr>
        <w:spacing w:after="60"/>
        <w:jc w:val="both"/>
      </w:pPr>
      <w:r>
        <w:rPr>
          <w:rFonts w:ascii="微软雅黑" w:eastAsia="微软雅黑" w:hAnsi="微软雅黑" w:cs="微软雅黑" w:hint="eastAsia"/>
          <w:sz w:val="20"/>
          <w:lang w:eastAsia="zh-CN"/>
        </w:rPr>
        <w:t>燃油车（蓝牌）占用充电位</w:t>
      </w:r>
      <w:r>
        <w:rPr>
          <w:sz w:val="20"/>
        </w:rPr>
        <w:t xml:space="preserve"> → </w:t>
      </w:r>
      <w:r>
        <w:rPr>
          <w:rFonts w:ascii="微软雅黑" w:eastAsia="微软雅黑" w:hAnsi="微软雅黑" w:cs="微软雅黑" w:hint="eastAsia"/>
          <w:b/>
          <w:sz w:val="20"/>
          <w:lang w:eastAsia="zh-CN"/>
        </w:rPr>
        <w:t>违规占位</w:t>
      </w:r>
    </w:p>
    <w:p>
      <w:pPr>
        <w:pStyle w:val="ListNumber"/>
        <w:numPr>
          <w:ilvl w:val="0"/>
          <w:numId w:val="12"/>
        </w:numPr>
        <w:spacing w:after="60"/>
        <w:jc w:val="both"/>
      </w:pPr>
      <w:r>
        <w:rPr>
          <w:rFonts w:ascii="微软雅黑" w:eastAsia="微软雅黑" w:hAnsi="微软雅黑" w:cs="微软雅黑" w:hint="eastAsia"/>
          <w:sz w:val="20"/>
          <w:lang w:eastAsia="zh-CN"/>
        </w:rPr>
        <w:t>新能源车未充电且久停</w:t>
      </w:r>
      <w:r>
        <w:rPr>
          <w:sz w:val="20"/>
        </w:rPr>
        <w:t xml:space="preserve"> → </w:t>
      </w:r>
      <w:r>
        <w:rPr>
          <w:rFonts w:ascii="微软雅黑" w:eastAsia="微软雅黑" w:hAnsi="微软雅黑" w:cs="微软雅黑" w:hint="eastAsia"/>
          <w:b/>
          <w:sz w:val="20"/>
          <w:lang w:eastAsia="zh-CN"/>
        </w:rPr>
        <w:t>异常占位</w:t>
      </w:r>
    </w:p>
    <w:p>
      <w:pPr>
        <w:pStyle w:val="ListNumber"/>
        <w:numPr>
          <w:ilvl w:val="0"/>
          <w:numId w:val="12"/>
        </w:numPr>
        <w:spacing w:after="60"/>
        <w:jc w:val="both"/>
      </w:pPr>
      <w:r>
        <w:rPr>
          <w:rFonts w:ascii="微软雅黑" w:eastAsia="微软雅黑" w:hAnsi="微软雅黑" w:cs="微软雅黑" w:hint="eastAsia"/>
          <w:sz w:val="20"/>
          <w:lang w:eastAsia="zh-CN"/>
        </w:rPr>
        <w:t>新能源车充满超时未驶离</w:t>
      </w:r>
      <w:r>
        <w:rPr>
          <w:sz w:val="20"/>
        </w:rPr>
        <w:t xml:space="preserve"> → </w:t>
      </w:r>
      <w:r>
        <w:rPr>
          <w:rFonts w:ascii="微软雅黑" w:eastAsia="微软雅黑" w:hAnsi="微软雅黑" w:cs="微软雅黑" w:hint="eastAsia"/>
          <w:b/>
          <w:sz w:val="20"/>
          <w:lang w:eastAsia="zh-CN"/>
        </w:rPr>
        <w:t>充满未移车</w:t>
      </w:r>
    </w:p>
    <w:p>
      <w:pPr>
        <w:pStyle w:val="ListNumber"/>
        <w:numPr>
          <w:ilvl w:val="0"/>
          <w:numId w:val="12"/>
        </w:numPr>
        <w:spacing w:after="60"/>
        <w:jc w:val="both"/>
      </w:pPr>
      <w:r>
        <w:rPr>
          <w:rFonts w:ascii="微软雅黑" w:eastAsia="微软雅黑" w:hAnsi="微软雅黑" w:cs="微软雅黑" w:hint="eastAsia"/>
          <w:sz w:val="20"/>
          <w:lang w:eastAsia="zh-CN"/>
        </w:rPr>
        <w:t>正常充电</w:t>
      </w:r>
      <w:r>
        <w:rPr>
          <w:sz w:val="20"/>
        </w:rPr>
        <w:t xml:space="preserve"> → </w:t>
      </w:r>
      <w:r>
        <w:rPr>
          <w:rFonts w:ascii="微软雅黑" w:eastAsia="微软雅黑" w:hAnsi="微软雅黑" w:cs="微软雅黑" w:hint="eastAsia"/>
          <w:b/>
          <w:sz w:val="20"/>
          <w:lang w:eastAsia="zh-CN"/>
        </w:rPr>
        <w:t>不提醒</w:t>
      </w:r>
    </w:p>
    <w:p>
      <w:pPr>
        <w:jc w:val="both"/>
      </w:pPr>
      <w:r>
        <w:rPr>
          <w:rFonts w:ascii="微软雅黑" w:eastAsia="微软雅黑" w:hAnsi="微软雅黑" w:cs="微软雅黑" w:hint="eastAsia"/>
          <w:sz w:val="20"/>
          <w:lang w:eastAsia="zh-CN"/>
        </w:rPr>
        <w:t>车型判定的口径需要特别说明：系统以</w:t>
      </w:r>
      <w:r>
        <w:rPr>
          <w:rFonts w:ascii="微软雅黑" w:eastAsia="微软雅黑" w:hAnsi="微软雅黑" w:cs="微软雅黑" w:hint="eastAsia"/>
          <w:b/>
          <w:sz w:val="20"/>
          <w:lang w:eastAsia="zh-CN"/>
        </w:rPr>
        <w:t>车牌底色</w:t>
      </w:r>
      <w:r>
        <w:rPr>
          <w:rFonts w:ascii="微软雅黑" w:eastAsia="微软雅黑" w:hAnsi="微软雅黑" w:cs="微软雅黑" w:hint="eastAsia"/>
          <w:sz w:val="20"/>
          <w:lang w:eastAsia="zh-CN"/>
        </w:rPr>
        <w:t>判定车型（绿牌</w:t>
      </w:r>
      <w:r>
        <w:rPr>
          <w:sz w:val="20"/>
        </w:rPr>
        <w:t xml:space="preserve"> = </w:t>
      </w:r>
      <w:r>
        <w:rPr>
          <w:rFonts w:ascii="微软雅黑" w:eastAsia="微软雅黑" w:hAnsi="微软雅黑" w:cs="微软雅黑" w:hint="eastAsia"/>
          <w:sz w:val="20"/>
          <w:lang w:eastAsia="zh-CN"/>
        </w:rPr>
        <w:t>新能源，蓝牌</w:t>
      </w:r>
      <w:r>
        <w:rPr>
          <w:sz w:val="20"/>
        </w:rPr>
        <w:t xml:space="preserve"> = </w:t>
      </w:r>
      <w:r>
        <w:rPr>
          <w:rFonts w:ascii="微软雅黑" w:eastAsia="微软雅黑" w:hAnsi="微软雅黑" w:cs="微软雅黑" w:hint="eastAsia"/>
          <w:sz w:val="20"/>
          <w:lang w:eastAsia="zh-CN"/>
        </w:rPr>
        <w:t>燃油），而不依赖车辆外观分类。原因是车牌类型是可靠且法定的代理变量，外观分类在校园场景下受车型数量、拍摄角度与光照影响过大，准确率不可控。这一取舍已写入接口契约，避免后续各部门各自解释。</w:t>
      </w:r>
    </w:p>
    <w:p>
      <w:pPr>
        <w:pStyle w:val="Heading3"/>
        <w:spacing w:line="300" w:lineRule="auto"/>
      </w:pPr>
      <w:r>
        <w:rPr>
          <w:rFonts w:ascii="微软雅黑" w:hAnsi="微软雅黑" w:eastAsia="微软雅黑" w:cs="微软雅黑" w:hint="eastAsia"/>
          <w:b/>
          <w:color w:val="1565C0"/>
          <w:sz w:val="22"/>
          <w:lang w:eastAsia="zh-CN"/>
        </w:rPr>
        <w:t>3.3 功能模块与交付内容</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模块</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内容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交付形态</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M1 </w:t>
            </w:r>
            <w:r>
              <w:rPr>
                <w:color w:val="212121"/>
                <w:sz w:val="16"/>
              </w:rPr>
              <w:t xml:space="preserve"> </w:t>
            </w:r>
            <w:r>
              <w:rPr>
                <w:color w:val="212121"/>
                <w:sz w:val="16"/>
              </w:rPr>
              <w:t>图像采集</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读视频</w:t>
            </w:r>
            <w:r>
              <w:rPr>
                <w:color w:val="212121"/>
                <w:sz w:val="16"/>
              </w:rPr>
              <w:t xml:space="preserve"> </w:t>
            </w:r>
            <w:r>
              <w:rPr>
                <w:color w:val="212121"/>
                <w:sz w:val="16"/>
              </w:rPr>
              <w:t xml:space="preserve"> / </w:t>
            </w:r>
            <w:r>
              <w:rPr>
                <w:color w:val="212121"/>
                <w:sz w:val="16"/>
              </w:rPr>
              <w:t xml:space="preserve"> </w:t>
            </w:r>
            <w:r>
              <w:rPr>
                <w:color w:val="212121"/>
                <w:sz w:val="16"/>
              </w:rPr>
              <w:t>图片，定时抽帧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后端服务</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M2 </w:t>
            </w:r>
            <w:r>
              <w:rPr>
                <w:color w:val="212121"/>
                <w:sz w:val="16"/>
              </w:rPr>
              <w:t xml:space="preserve"> </w:t>
            </w:r>
            <w:r>
              <w:rPr>
                <w:color w:val="212121"/>
                <w:sz w:val="16"/>
              </w:rPr>
              <w:t>车辆检测</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检测车辆，输出边框与置信度</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算法模块</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M3 </w:t>
            </w:r>
            <w:r>
              <w:rPr>
                <w:color w:val="212121"/>
                <w:sz w:val="16"/>
              </w:rPr>
              <w:t xml:space="preserve"> </w:t>
            </w:r>
            <w:r>
              <w:rPr>
                <w:color w:val="212121"/>
                <w:sz w:val="16"/>
              </w:rPr>
              <w:t>车牌识别</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定位车牌、识别号码、判定类型</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算法模块</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M4 </w:t>
            </w:r>
            <w:r>
              <w:rPr>
                <w:color w:val="212121"/>
                <w:sz w:val="16"/>
              </w:rPr>
              <w:t xml:space="preserve"> </w:t>
            </w:r>
            <w:r>
              <w:rPr>
                <w:color w:val="212121"/>
                <w:sz w:val="16"/>
              </w:rPr>
              <w:t>充电状态</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车牌与桩状态关联、定时更新、预留</w:t>
            </w:r>
            <w:r>
              <w:rPr>
                <w:color w:val="212121"/>
                <w:sz w:val="16"/>
              </w:rPr>
              <w:t xml:space="preserve"> </w:t>
            </w:r>
            <w:r>
              <w:rPr>
                <w:color w:val="212121"/>
                <w:sz w:val="16"/>
              </w:rPr>
              <w:t xml:space="preserve"> OCPP </w:t>
            </w:r>
            <w:r>
              <w:rPr>
                <w:color w:val="212121"/>
                <w:sz w:val="16"/>
              </w:rPr>
              <w:t xml:space="preserve"> </w:t>
            </w:r>
            <w:r>
              <w:rPr>
                <w:color w:val="212121"/>
                <w:sz w:val="16"/>
              </w:rPr>
              <w:t>适配层</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数据服务</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M5 </w:t>
            </w:r>
            <w:r>
              <w:rPr>
                <w:color w:val="212121"/>
                <w:sz w:val="16"/>
              </w:rPr>
              <w:t xml:space="preserve"> </w:t>
            </w:r>
            <w:r>
              <w:rPr>
                <w:color w:val="212121"/>
                <w:sz w:val="16"/>
              </w:rPr>
              <w:t>违规判断</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四规则判定，阈值可配置</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规则引擎</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M6 </w:t>
            </w:r>
            <w:r>
              <w:rPr>
                <w:color w:val="212121"/>
                <w:sz w:val="16"/>
              </w:rPr>
              <w:t xml:space="preserve"> </w:t>
            </w:r>
            <w:r>
              <w:rPr>
                <w:color w:val="212121"/>
                <w:sz w:val="16"/>
              </w:rPr>
              <w:t>短信提醒</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查车主手机号、发送、记录状态</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通知服务</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M7 </w:t>
            </w:r>
            <w:r>
              <w:rPr>
                <w:color w:val="212121"/>
                <w:sz w:val="16"/>
              </w:rPr>
              <w:t xml:space="preserve"> </w:t>
            </w:r>
            <w:r>
              <w:rPr>
                <w:color w:val="212121"/>
                <w:sz w:val="16"/>
              </w:rPr>
              <w:t>管理后台</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车辆信息管理</w:t>
            </w:r>
            <w:r>
              <w:rPr>
                <w:color w:val="212121"/>
                <w:sz w:val="16"/>
              </w:rPr>
              <w:t xml:space="preserve"> </w:t>
            </w:r>
            <w:r>
              <w:rPr>
                <w:color w:val="212121"/>
                <w:sz w:val="16"/>
              </w:rPr>
              <w:t xml:space="preserve"> / </w:t>
            </w:r>
            <w:r>
              <w:rPr>
                <w:color w:val="212121"/>
                <w:sz w:val="16"/>
              </w:rPr>
              <w:t xml:space="preserve"> </w:t>
            </w:r>
            <w:r>
              <w:rPr>
                <w:color w:val="212121"/>
                <w:sz w:val="16"/>
              </w:rPr>
              <w:t>违规记录查询</w:t>
            </w:r>
            <w:r>
              <w:rPr>
                <w:color w:val="212121"/>
                <w:sz w:val="16"/>
              </w:rPr>
              <w:t xml:space="preserve"> </w:t>
            </w:r>
            <w:r>
              <w:rPr>
                <w:color w:val="212121"/>
                <w:sz w:val="16"/>
              </w:rPr>
              <w:t xml:space="preserve"> / </w:t>
            </w:r>
            <w:r>
              <w:rPr>
                <w:color w:val="212121"/>
                <w:sz w:val="16"/>
              </w:rPr>
              <w:t xml:space="preserve"> </w:t>
            </w:r>
            <w:r>
              <w:rPr>
                <w:color w:val="212121"/>
                <w:sz w:val="16"/>
              </w:rPr>
              <w:t>充电状态展示</w:t>
            </w:r>
            <w:r>
              <w:rPr>
                <w:color w:val="212121"/>
                <w:sz w:val="16"/>
              </w:rPr>
              <w:t xml:space="preserve"> </w:t>
            </w:r>
            <w:r>
              <w:rPr>
                <w:color w:val="212121"/>
                <w:sz w:val="16"/>
              </w:rPr>
              <w:t xml:space="preserve"> / </w:t>
            </w:r>
            <w:r>
              <w:rPr>
                <w:color w:val="212121"/>
                <w:sz w:val="16"/>
              </w:rPr>
              <w:t xml:space="preserve"> </w:t>
            </w:r>
            <w:r>
              <w:rPr>
                <w:color w:val="212121"/>
                <w:sz w:val="16"/>
              </w:rPr>
              <w:t>报警统计</w:t>
            </w:r>
            <w:r>
              <w:rPr>
                <w:color w:val="212121"/>
                <w:sz w:val="16"/>
              </w:rPr>
              <w:t xml:space="preserve"> </w:t>
            </w:r>
            <w:r>
              <w:rPr>
                <w:color w:val="212121"/>
                <w:sz w:val="16"/>
              </w:rPr>
              <w:t xml:space="preserve"> / </w:t>
            </w:r>
            <w:r>
              <w:rPr>
                <w:color w:val="212121"/>
                <w:sz w:val="16"/>
              </w:rPr>
              <w:t xml:space="preserve"> </w:t>
            </w:r>
            <w:r>
              <w:rPr>
                <w:color w:val="212121"/>
                <w:sz w:val="16"/>
              </w:rPr>
              <w:t>系统参数配置</w:t>
            </w:r>
            <w:r>
              <w:rPr>
                <w:color w:val="212121"/>
                <w:sz w:val="16"/>
              </w:rPr>
              <w:t xml:space="preserve"> </w:t>
            </w:r>
            <w:r>
              <w:rPr>
                <w:color w:val="212121"/>
                <w:sz w:val="16"/>
              </w:rPr>
              <w:t xml:space="preserve"> / </w:t>
            </w:r>
            <w:r>
              <w:rPr>
                <w:color w:val="212121"/>
                <w:sz w:val="16"/>
              </w:rPr>
              <w:t xml:space="preserve"> </w:t>
            </w:r>
            <w:r>
              <w:rPr>
                <w:color w:val="212121"/>
                <w:sz w:val="16"/>
              </w:rPr>
              <w:t>实时识别预览（六页）</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Web </w:t>
            </w:r>
            <w:r>
              <w:rPr>
                <w:color w:val="212121"/>
                <w:sz w:val="16"/>
              </w:rPr>
              <w:t xml:space="preserve"> </w:t>
            </w:r>
            <w:r>
              <w:rPr>
                <w:color w:val="212121"/>
                <w:sz w:val="16"/>
              </w:rPr>
              <w:t>应用</w:t>
            </w:r>
          </w:p>
        </w:tc>
      </w:tr>
    </w:tbl>
    <w:p>
      <w:pPr>
        <w:jc w:val="both"/>
      </w:pPr>
      <w:r>
        <w:rPr>
          <w:rFonts w:ascii="微软雅黑" w:eastAsia="微软雅黑" w:hAnsi="微软雅黑" w:cs="微软雅黑" w:hint="eastAsia"/>
          <w:sz w:val="20"/>
          <w:lang w:eastAsia="zh-CN"/>
        </w:rPr>
        <w:t>六页后台即管理方日常使用的完整界面。其中</w:t>
      </w:r>
      <w:r>
        <w:rPr>
          <w:sz w:val="20"/>
        </w:rPr>
        <w:t>"</w:t>
      </w:r>
      <w:r>
        <w:rPr>
          <w:rFonts w:ascii="微软雅黑" w:eastAsia="微软雅黑" w:hAnsi="微软雅黑" w:cs="微软雅黑" w:hint="eastAsia"/>
          <w:sz w:val="20"/>
          <w:lang w:eastAsia="zh-CN"/>
        </w:rPr>
        <w:t>系统参数配置</w:t>
      </w:r>
      <w:r>
        <w:rPr>
          <w:sz w:val="20"/>
        </w:rPr>
        <w:t>"</w:t>
      </w:r>
      <w:r>
        <w:rPr>
          <w:rFonts w:ascii="微软雅黑" w:eastAsia="微软雅黑" w:hAnsi="微软雅黑" w:cs="微软雅黑" w:hint="eastAsia"/>
          <w:sz w:val="20"/>
          <w:lang w:eastAsia="zh-CN"/>
        </w:rPr>
        <w:t>页让阈值（如充满后允许停留时长、异常停放判定时长）由管理方自行调整而无需改动代码</w:t>
      </w:r>
      <w:r>
        <w:rPr>
          <w:sz w:val="20"/>
        </w:rPr>
        <w:t>——</w:t>
      </w:r>
      <w:r>
        <w:rPr>
          <w:rFonts w:ascii="微软雅黑" w:eastAsia="微软雅黑" w:hAnsi="微软雅黑" w:cs="微软雅黑" w:hint="eastAsia"/>
          <w:sz w:val="20"/>
          <w:lang w:eastAsia="zh-CN"/>
        </w:rPr>
        <w:t>阈值一律从配置表读取，不硬编码，这是交付后可运维的前提。</w:t>
      </w:r>
    </w:p>
    <w:p>
      <w:pPr>
        <w:pStyle w:val="Heading3"/>
        <w:spacing w:line="300" w:lineRule="auto"/>
      </w:pPr>
      <w:r>
        <w:rPr>
          <w:rFonts w:ascii="微软雅黑" w:hAnsi="微软雅黑" w:eastAsia="微软雅黑" w:cs="微软雅黑" w:hint="eastAsia"/>
          <w:b/>
          <w:color w:val="1565C0"/>
          <w:sz w:val="22"/>
          <w:lang w:eastAsia="zh-CN"/>
        </w:rPr>
        <w:t>3.4 技术方案</w:t>
      </w:r>
    </w:p>
    <w:p>
      <w:pPr>
        <w:jc w:val="both"/>
      </w:pPr>
      <w:r>
        <w:rPr>
          <w:rFonts w:ascii="微软雅黑" w:eastAsia="微软雅黑" w:hAnsi="微软雅黑" w:cs="微软雅黑" w:hint="eastAsia"/>
          <w:sz w:val="20"/>
          <w:lang w:eastAsia="zh-CN"/>
        </w:rPr>
        <w:t>五层架构与关键选型：</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层级</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职责</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关键实现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图像采集层</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摄像头</w:t>
            </w:r>
            <w:r>
              <w:rPr>
                <w:color w:val="212121"/>
                <w:sz w:val="16"/>
              </w:rPr>
              <w:t xml:space="preserve"> </w:t>
            </w:r>
            <w:r>
              <w:rPr>
                <w:color w:val="212121"/>
                <w:sz w:val="16"/>
              </w:rPr>
              <w:t xml:space="preserve"> / </w:t>
            </w:r>
            <w:r>
              <w:rPr>
                <w:color w:val="212121"/>
                <w:sz w:val="16"/>
              </w:rPr>
              <w:t xml:space="preserve"> </w:t>
            </w:r>
            <w:r>
              <w:rPr>
                <w:color w:val="212121"/>
                <w:sz w:val="16"/>
              </w:rPr>
              <w:t>测试视频</w:t>
            </w:r>
            <w:r>
              <w:rPr>
                <w:color w:val="212121"/>
                <w:sz w:val="16"/>
              </w:rPr>
              <w:t xml:space="preserve"> </w:t>
            </w:r>
            <w:r>
              <w:rPr>
                <w:color w:val="212121"/>
                <w:sz w:val="16"/>
              </w:rPr>
              <w:t xml:space="preserve"> → </w:t>
            </w:r>
            <w:r>
              <w:rPr>
                <w:color w:val="212121"/>
                <w:sz w:val="16"/>
              </w:rPr>
              <w:t xml:space="preserve"> </w:t>
            </w:r>
            <w:r>
              <w:rPr>
                <w:color w:val="212121"/>
                <w:sz w:val="16"/>
              </w:rPr>
              <w:t>定时抽帧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OpenCV </w:t>
            </w:r>
            <w:r>
              <w:rPr>
                <w:color w:val="212121"/>
                <w:sz w:val="16"/>
              </w:rPr>
              <w:t xml:space="preserve"> </w:t>
            </w:r>
            <w:r>
              <w:rPr>
                <w:color w:val="212121"/>
                <w:sz w:val="16"/>
              </w:rPr>
              <w:t>抽帧，输出标准化帧</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智能识别层</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车辆检测</w:t>
            </w:r>
            <w:r>
              <w:rPr>
                <w:color w:val="212121"/>
                <w:sz w:val="16"/>
              </w:rPr>
              <w:t xml:space="preserve"> </w:t>
            </w:r>
            <w:r>
              <w:rPr>
                <w:color w:val="212121"/>
                <w:sz w:val="16"/>
              </w:rPr>
              <w:t xml:space="preserve"> + </w:t>
            </w:r>
            <w:r>
              <w:rPr>
                <w:color w:val="212121"/>
                <w:sz w:val="16"/>
              </w:rPr>
              <w:t xml:space="preserve"> </w:t>
            </w:r>
            <w:r>
              <w:rPr>
                <w:color w:val="212121"/>
                <w:sz w:val="16"/>
              </w:rPr>
              <w:t>车牌识别</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Ultralytics YOLOv8 + HyperLPR</w:t>
            </w:r>
            <w:r>
              <w:rPr>
                <w:color w:val="212121"/>
                <w:sz w:val="16"/>
              </w:rPr>
              <w:t xml:space="preserve"> </w:t>
            </w:r>
            <w:r>
              <w:rPr>
                <w:color w:val="212121"/>
                <w:sz w:val="16"/>
              </w:rPr>
              <w:t>（主）</w:t>
            </w:r>
            <w:r>
              <w:rPr>
                <w:color w:val="212121"/>
                <w:sz w:val="16"/>
              </w:rPr>
              <w:t xml:space="preserve"> </w:t>
            </w:r>
            <w:r>
              <w:rPr>
                <w:color w:val="212121"/>
                <w:sz w:val="16"/>
              </w:rPr>
              <w:t>/ PaddleOCR</w:t>
            </w:r>
            <w:r>
              <w:rPr>
                <w:color w:val="212121"/>
                <w:sz w:val="16"/>
              </w:rPr>
              <w:t xml:space="preserve"> </w:t>
            </w:r>
            <w:r>
              <w:rPr>
                <w:color w:val="212121"/>
                <w:sz w:val="16"/>
              </w:rPr>
              <w:t>（备选）</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数据融合层</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按车牌号关联车辆与充电桩状态</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MySQL </w:t>
            </w:r>
            <w:r>
              <w:rPr>
                <w:color w:val="212121"/>
                <w:sz w:val="16"/>
              </w:rPr>
              <w:t xml:space="preserve"> </w:t>
            </w:r>
            <w:r>
              <w:rPr>
                <w:color w:val="212121"/>
                <w:sz w:val="16"/>
              </w:rPr>
              <w:t>状态库</w:t>
            </w:r>
            <w:r>
              <w:rPr>
                <w:color w:val="212121"/>
                <w:sz w:val="16"/>
              </w:rPr>
              <w:t xml:space="preserve"> </w:t>
            </w:r>
            <w:r>
              <w:rPr>
                <w:color w:val="212121"/>
                <w:sz w:val="16"/>
              </w:rPr>
              <w:t xml:space="preserve"> + </w:t>
            </w:r>
            <w:r>
              <w:rPr>
                <w:color w:val="212121"/>
                <w:sz w:val="16"/>
              </w:rPr>
              <w:t xml:space="preserve"> </w:t>
            </w:r>
            <w:r>
              <w:rPr>
                <w:color w:val="212121"/>
                <w:sz w:val="16"/>
              </w:rPr>
              <w:t>模拟器</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业务处理层</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违规判断规则引擎</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Python </w:t>
            </w:r>
            <w:r>
              <w:rPr>
                <w:color w:val="212121"/>
                <w:sz w:val="16"/>
              </w:rPr>
              <w:t xml:space="preserve"> </w:t>
            </w:r>
            <w:r>
              <w:rPr>
                <w:color w:val="212121"/>
                <w:sz w:val="16"/>
              </w:rPr>
              <w:t>规则函数，阈值可配置</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应用展示层</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后台管理</w:t>
            </w:r>
            <w:r>
              <w:rPr>
                <w:color w:val="212121"/>
                <w:sz w:val="16"/>
              </w:rPr>
              <w:t xml:space="preserve"> </w:t>
            </w:r>
            <w:r>
              <w:rPr>
                <w:color w:val="212121"/>
                <w:sz w:val="16"/>
              </w:rPr>
              <w:t xml:space="preserve"> Web + </w:t>
            </w:r>
            <w:r>
              <w:rPr>
                <w:color w:val="212121"/>
                <w:sz w:val="16"/>
              </w:rPr>
              <w:t xml:space="preserve"> </w:t>
            </w:r>
            <w:r>
              <w:rPr>
                <w:color w:val="212121"/>
                <w:sz w:val="16"/>
              </w:rPr>
              <w:t>提醒通道</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Vue 3 + FastAPI + </w:t>
            </w:r>
            <w:r>
              <w:rPr>
                <w:color w:val="212121"/>
                <w:sz w:val="16"/>
              </w:rPr>
              <w:t xml:space="preserve"> </w:t>
            </w:r>
            <w:r>
              <w:rPr>
                <w:color w:val="212121"/>
                <w:sz w:val="16"/>
              </w:rPr>
              <w:t>短信网关</w:t>
            </w:r>
          </w:p>
        </w:tc>
      </w:tr>
    </w:tbl>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选型项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方案</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选择理由</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后端</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FastAPI</w:t>
            </w:r>
            <w:r>
              <w:rPr>
                <w:color w:val="212121"/>
                <w:sz w:val="16"/>
              </w:rPr>
              <w:t xml:space="preserve"> </w:t>
            </w:r>
            <w:r>
              <w:rPr>
                <w:color w:val="212121"/>
                <w:sz w:val="16"/>
              </w:rPr>
              <w:t>（</w:t>
            </w:r>
            <w:r>
              <w:rPr>
                <w:color w:val="212121"/>
                <w:sz w:val="16"/>
              </w:rPr>
              <w:t xml:space="preserve"> </w:t>
            </w:r>
            <w:r>
              <w:rPr>
                <w:color w:val="212121"/>
                <w:sz w:val="16"/>
              </w:rPr>
              <w:t>Python 3.11.x</w:t>
            </w:r>
            <w:r>
              <w:rPr>
                <w:color w:val="212121"/>
                <w:sz w:val="16"/>
              </w:rPr>
              <w:t xml:space="preserve"> </w:t>
            </w:r>
            <w:r>
              <w:rPr>
                <w:color w:val="212121"/>
                <w:sz w:val="16"/>
              </w:rPr>
              <w:t>）</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异步框架，接口契约可自动生成</w:t>
            </w:r>
            <w:r>
              <w:rPr>
                <w:color w:val="212121"/>
                <w:sz w:val="16"/>
              </w:rPr>
              <w:t xml:space="preserve"> </w:t>
            </w:r>
            <w:r>
              <w:rPr>
                <w:color w:val="212121"/>
                <w:sz w:val="16"/>
              </w:rPr>
              <w:t xml:space="preserve"> OpenAPI </w:t>
            </w:r>
            <w:r>
              <w:rPr>
                <w:color w:val="212121"/>
                <w:sz w:val="16"/>
              </w:rPr>
              <w:t xml:space="preserve"> </w:t>
            </w:r>
            <w:r>
              <w:rPr>
                <w:color w:val="212121"/>
                <w:sz w:val="16"/>
              </w:rPr>
              <w:t>文档</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前端</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Vue 3 + Vite + TypeScript + Element Plus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组件成熟、交付快，适合以表格与图表为主的后台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数据库</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MySQL 8</w:t>
            </w:r>
            <w:r>
              <w:rPr>
                <w:color w:val="212121"/>
                <w:sz w:val="16"/>
              </w:rPr>
              <w:t xml:space="preserve"> </w:t>
            </w:r>
            <w:r>
              <w:rPr>
                <w:color w:val="212121"/>
                <w:sz w:val="16"/>
              </w:rPr>
              <w:t>（开发期以</w:t>
            </w:r>
            <w:r>
              <w:rPr>
                <w:color w:val="212121"/>
                <w:sz w:val="16"/>
              </w:rPr>
              <w:t xml:space="preserve"> </w:t>
            </w:r>
            <w:r>
              <w:rPr>
                <w:color w:val="212121"/>
                <w:sz w:val="16"/>
              </w:rPr>
              <w:t xml:space="preserve"> SQLite </w:t>
            </w:r>
            <w:r>
              <w:rPr>
                <w:color w:val="212121"/>
                <w:sz w:val="16"/>
              </w:rPr>
              <w:t xml:space="preserve"> </w:t>
            </w:r>
            <w:r>
              <w:rPr>
                <w:color w:val="212121"/>
                <w:sz w:val="16"/>
              </w:rPr>
              <w:t>等价验证）</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数据访问层走</w:t>
            </w:r>
            <w:r>
              <w:rPr>
                <w:color w:val="212121"/>
                <w:sz w:val="16"/>
              </w:rPr>
              <w:t xml:space="preserve"> </w:t>
            </w:r>
            <w:r>
              <w:rPr>
                <w:color w:val="212121"/>
                <w:sz w:val="16"/>
              </w:rPr>
              <w:t xml:space="preserve"> SQLAlchemy</w:t>
            </w:r>
            <w:r>
              <w:rPr>
                <w:color w:val="212121"/>
                <w:sz w:val="16"/>
              </w:rPr>
              <w:t xml:space="preserve"> </w:t>
            </w:r>
            <w:r>
              <w:rPr>
                <w:color w:val="212121"/>
                <w:sz w:val="16"/>
              </w:rPr>
              <w:t>，切换数据库只改连接串</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目标检测</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Ultralytics YOLOv8</w:t>
            </w:r>
            <w:r>
              <w:rPr>
                <w:color w:val="212121"/>
                <w:sz w:val="16"/>
              </w:rPr>
              <w:t xml:space="preserve"> </w:t>
            </w:r>
            <w:r>
              <w:rPr>
                <w:color w:val="212121"/>
                <w:sz w:val="16"/>
              </w:rPr>
              <w:t>（</w:t>
            </w:r>
            <w:r>
              <w:rPr>
                <w:color w:val="212121"/>
                <w:sz w:val="16"/>
              </w:rPr>
              <w:t xml:space="preserve"> </w:t>
            </w:r>
            <w:r>
              <w:rPr>
                <w:color w:val="212121"/>
                <w:sz w:val="16"/>
              </w:rPr>
              <w:t>n / s</w:t>
            </w:r>
            <w:r>
              <w:rPr>
                <w:color w:val="212121"/>
                <w:sz w:val="16"/>
              </w:rPr>
              <w:t xml:space="preserve"> </w:t>
            </w:r>
            <w:r>
              <w:rPr>
                <w:color w:val="212121"/>
                <w:sz w:val="16"/>
              </w:rPr>
              <w:t>）</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预训练起步，配合校园场景微调</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车牌识别</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HyperLPR</w:t>
            </w:r>
            <w:r>
              <w:rPr>
                <w:color w:val="212121"/>
                <w:sz w:val="16"/>
              </w:rPr>
              <w:t xml:space="preserve"> </w:t>
            </w:r>
            <w:r>
              <w:rPr>
                <w:color w:val="212121"/>
                <w:sz w:val="16"/>
              </w:rPr>
              <w:t>（主）</w:t>
            </w:r>
            <w:r>
              <w:rPr>
                <w:color w:val="212121"/>
                <w:sz w:val="16"/>
              </w:rPr>
              <w:t xml:space="preserve"> </w:t>
            </w:r>
            <w:r>
              <w:rPr>
                <w:color w:val="212121"/>
                <w:sz w:val="16"/>
              </w:rPr>
              <w:t>/ PaddleOCR</w:t>
            </w:r>
            <w:r>
              <w:rPr>
                <w:color w:val="212121"/>
                <w:sz w:val="16"/>
              </w:rPr>
              <w:t xml:space="preserve"> </w:t>
            </w:r>
            <w:r>
              <w:rPr>
                <w:color w:val="212121"/>
                <w:sz w:val="16"/>
              </w:rPr>
              <w:t>（备选）</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同时给出号码与底色判型</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可视化</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ECharts</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统计图表配色统一从设计令牌读取，保证多页一致</w:t>
            </w:r>
          </w:p>
        </w:tc>
      </w:tr>
    </w:tbl>
    <w:p>
      <w:pPr>
        <w:jc w:val="both"/>
      </w:pPr>
      <w:r>
        <w:rPr>
          <w:rFonts w:ascii="微软雅黑" w:eastAsia="微软雅黑" w:hAnsi="微软雅黑" w:cs="微软雅黑" w:hint="eastAsia"/>
          <w:sz w:val="20"/>
          <w:lang w:eastAsia="zh-CN"/>
        </w:rPr>
        <w:t>数据模型为核心四表：车辆表（车牌、车型、车主、手机号）、充电桩表（桩号、状态、绑定车牌、起止时间）、违规记录表（记录号、车牌、车型、桩号、命中规则、发生时间、提醒状态与时间）、系统配置表（阈值键值）。</w:t>
      </w:r>
    </w:p>
    <w:p>
      <w:pPr>
        <w:pStyle w:val="Heading3"/>
        <w:spacing w:line="300" w:lineRule="auto"/>
      </w:pPr>
      <w:r>
        <w:rPr>
          <w:rFonts w:ascii="微软雅黑" w:hAnsi="微软雅黑" w:eastAsia="微软雅黑" w:cs="微软雅黑" w:hint="eastAsia"/>
          <w:b/>
          <w:color w:val="1565C0"/>
          <w:sz w:val="22"/>
          <w:lang w:eastAsia="zh-CN"/>
        </w:rPr>
        <w:t>3.5 技术壁垒与工程方法</w:t>
      </w:r>
    </w:p>
    <w:p>
      <w:pPr>
        <w:jc w:val="both"/>
      </w:pPr>
      <w:r>
        <w:rPr>
          <w:rFonts w:ascii="微软雅黑" w:eastAsia="微软雅黑" w:hAnsi="微软雅黑" w:cs="微软雅黑" w:hint="eastAsia"/>
          <w:b/>
          <w:sz w:val="20"/>
          <w:lang w:eastAsia="zh-CN"/>
        </w:rPr>
        <w:t>壁垒一：融合判断的方法论沉淀。</w:t>
      </w:r>
      <w:r>
        <w:rPr>
          <w:sz w:val="20"/>
        </w:rPr>
        <w:t xml:space="preserve"> </w:t>
      </w:r>
      <w:r>
        <w:rPr>
          <w:rFonts w:ascii="微软雅黑" w:eastAsia="微软雅黑" w:hAnsi="微软雅黑" w:cs="微软雅黑" w:hint="eastAsia"/>
          <w:sz w:val="20"/>
          <w:lang w:eastAsia="zh-CN"/>
        </w:rPr>
        <w:t>本项目的技术要点不在单个模型的精度，而在</w:t>
      </w:r>
      <w:r>
        <w:rPr>
          <w:sz w:val="20"/>
        </w:rPr>
        <w:t>"</w:t>
      </w:r>
      <w:r>
        <w:rPr>
          <w:rFonts w:ascii="微软雅黑" w:eastAsia="微软雅黑" w:hAnsi="微软雅黑" w:cs="微软雅黑" w:hint="eastAsia"/>
          <w:sz w:val="20"/>
          <w:lang w:eastAsia="zh-CN"/>
        </w:rPr>
        <w:t>视觉识别</w:t>
      </w:r>
      <w:r>
        <w:rPr>
          <w:sz w:val="20"/>
        </w:rPr>
        <w:t xml:space="preserve"> + </w:t>
      </w:r>
      <w:r>
        <w:rPr>
          <w:rFonts w:ascii="微软雅黑" w:eastAsia="微软雅黑" w:hAnsi="微软雅黑" w:cs="微软雅黑" w:hint="eastAsia"/>
          <w:sz w:val="20"/>
          <w:lang w:eastAsia="zh-CN"/>
        </w:rPr>
        <w:t>设备状态</w:t>
      </w:r>
      <w:r>
        <w:rPr>
          <w:sz w:val="20"/>
        </w:rPr>
        <w:t>"</w:t>
      </w:r>
      <w:r>
        <w:rPr>
          <w:rFonts w:ascii="微软雅黑" w:eastAsia="微软雅黑" w:hAnsi="微软雅黑" w:cs="微软雅黑" w:hint="eastAsia"/>
          <w:sz w:val="20"/>
          <w:lang w:eastAsia="zh-CN"/>
        </w:rPr>
        <w:t>的融合判断路径</w:t>
      </w:r>
      <w:r>
        <w:rPr>
          <w:sz w:val="20"/>
        </w:rPr>
        <w:t>——</w:t>
      </w:r>
      <w:r>
        <w:rPr>
          <w:rFonts w:ascii="微软雅黑" w:eastAsia="微软雅黑" w:hAnsi="微软雅黑" w:cs="微软雅黑" w:hint="eastAsia"/>
          <w:sz w:val="20"/>
          <w:lang w:eastAsia="zh-CN"/>
        </w:rPr>
        <w:t>只有在两个信号同时可用时，才能区分</w:t>
      </w:r>
      <w:r>
        <w:rPr>
          <w:sz w:val="20"/>
        </w:rPr>
        <w:t>"</w:t>
      </w:r>
      <w:r>
        <w:rPr>
          <w:rFonts w:ascii="微软雅黑" w:eastAsia="微软雅黑" w:hAnsi="微软雅黑" w:cs="微软雅黑" w:hint="eastAsia"/>
          <w:sz w:val="20"/>
          <w:lang w:eastAsia="zh-CN"/>
        </w:rPr>
        <w:t>合法占用</w:t>
      </w:r>
      <w:r>
        <w:rPr>
          <w:sz w:val="20"/>
        </w:rPr>
        <w:t>"</w:t>
      </w:r>
      <w:r>
        <w:rPr>
          <w:rFonts w:ascii="微软雅黑" w:eastAsia="微软雅黑" w:hAnsi="微软雅黑" w:cs="微软雅黑" w:hint="eastAsia"/>
          <w:sz w:val="20"/>
          <w:lang w:eastAsia="zh-CN"/>
        </w:rPr>
        <w:t>与</w:t>
      </w:r>
      <w:r>
        <w:rPr>
          <w:sz w:val="20"/>
        </w:rPr>
        <w:t>"</w:t>
      </w:r>
      <w:r>
        <w:rPr>
          <w:rFonts w:ascii="微软雅黑" w:eastAsia="微软雅黑" w:hAnsi="微软雅黑" w:cs="微软雅黑" w:hint="eastAsia"/>
          <w:sz w:val="20"/>
          <w:lang w:eastAsia="zh-CN"/>
        </w:rPr>
        <w:t>违规占用</w:t>
      </w:r>
      <w:r>
        <w:rPr>
          <w:sz w:val="20"/>
        </w:rPr>
        <w:t>"</w:t>
      </w:r>
      <w:r>
        <w:rPr>
          <w:rFonts w:ascii="微软雅黑" w:eastAsia="微软雅黑" w:hAnsi="微软雅黑" w:cs="微软雅黑" w:hint="eastAsia"/>
          <w:sz w:val="20"/>
          <w:lang w:eastAsia="zh-CN"/>
        </w:rPr>
        <w:t>，并识别出</w:t>
      </w:r>
      <w:r>
        <w:rPr>
          <w:sz w:val="20"/>
        </w:rPr>
        <w:t>"</w:t>
      </w:r>
      <w:r>
        <w:rPr>
          <w:rFonts w:ascii="微软雅黑" w:eastAsia="微软雅黑" w:hAnsi="微软雅黑" w:cs="微软雅黑" w:hint="eastAsia"/>
          <w:sz w:val="20"/>
          <w:lang w:eastAsia="zh-CN"/>
        </w:rPr>
        <w:t>充满未移车</w:t>
      </w:r>
      <w:r>
        <w:rPr>
          <w:sz w:val="20"/>
        </w:rPr>
        <w:t>"</w:t>
      </w:r>
      <w:r>
        <w:rPr>
          <w:rFonts w:ascii="微软雅黑" w:eastAsia="微软雅黑" w:hAnsi="微软雅黑" w:cs="微软雅黑" w:hint="eastAsia"/>
          <w:sz w:val="20"/>
          <w:lang w:eastAsia="zh-CN"/>
        </w:rPr>
        <w:t>这一既非占位违规、又确实浪费资源的中间状态。这条路径不止适用于充电车位，凡需要区分</w:t>
      </w:r>
      <w:r>
        <w:rPr>
          <w:sz w:val="20"/>
        </w:rPr>
        <w:t>"</w:t>
      </w:r>
      <w:r>
        <w:rPr>
          <w:rFonts w:ascii="微软雅黑" w:eastAsia="微软雅黑" w:hAnsi="微软雅黑" w:cs="微软雅黑" w:hint="eastAsia"/>
          <w:sz w:val="20"/>
          <w:lang w:eastAsia="zh-CN"/>
        </w:rPr>
        <w:t>合法占用</w:t>
      </w:r>
      <w:r>
        <w:rPr>
          <w:sz w:val="20"/>
        </w:rPr>
        <w:t>"</w:t>
      </w:r>
      <w:r>
        <w:rPr>
          <w:rFonts w:ascii="微软雅黑" w:eastAsia="微软雅黑" w:hAnsi="微软雅黑" w:cs="微软雅黑" w:hint="eastAsia"/>
          <w:sz w:val="20"/>
          <w:lang w:eastAsia="zh-CN"/>
        </w:rPr>
        <w:t>与</w:t>
      </w:r>
      <w:r>
        <w:rPr>
          <w:sz w:val="20"/>
        </w:rPr>
        <w:t>"</w:t>
      </w:r>
      <w:r>
        <w:rPr>
          <w:rFonts w:ascii="微软雅黑" w:eastAsia="微软雅黑" w:hAnsi="微软雅黑" w:cs="微软雅黑" w:hint="eastAsia"/>
          <w:sz w:val="20"/>
          <w:lang w:eastAsia="zh-CN"/>
        </w:rPr>
        <w:t>违规占用</w:t>
      </w:r>
      <w:r>
        <w:rPr>
          <w:sz w:val="20"/>
        </w:rPr>
        <w:t>"</w:t>
      </w:r>
      <w:r>
        <w:rPr>
          <w:rFonts w:ascii="微软雅黑" w:eastAsia="微软雅黑" w:hAnsi="微软雅黑" w:cs="微软雅黑" w:hint="eastAsia"/>
          <w:sz w:val="20"/>
          <w:lang w:eastAsia="zh-CN"/>
        </w:rPr>
        <w:t>的场景（专用车位、无障碍车位、装卸货位）均可迁移。</w:t>
      </w:r>
    </w:p>
    <w:p>
      <w:pPr>
        <w:jc w:val="both"/>
      </w:pPr>
      <w:r>
        <w:rPr>
          <w:rFonts w:ascii="微软雅黑" w:eastAsia="微软雅黑" w:hAnsi="微软雅黑" w:cs="微软雅黑" w:hint="eastAsia"/>
          <w:b/>
          <w:sz w:val="20"/>
          <w:lang w:eastAsia="zh-CN"/>
        </w:rPr>
        <w:t>壁垒二：校园场景数据与适配经验。</w:t>
      </w:r>
      <w:r>
        <w:rPr>
          <w:rFonts w:ascii="微软雅黑" w:eastAsia="微软雅黑" w:hAnsi="微软雅黑" w:cs="微软雅黑" w:hint="eastAsia"/>
          <w:sz w:val="20"/>
          <w:lang w:eastAsia="zh-CN"/>
        </w:rPr>
        <w:t xml:space="preserve"> 公共数据集难以覆盖校园特有的拍摄角度、光照变化、车位划线样式与车型分布。项目在实施过程中同步积累校园场景标注数据（已按规则类别组织样本与标注），每交付一个新场站就多积累一份场景适配经验，形成滚动的数据资产。</w:t>
      </w:r>
    </w:p>
    <w:p>
      <w:pPr>
        <w:jc w:val="both"/>
      </w:pPr>
      <w:r>
        <w:rPr>
          <w:rFonts w:ascii="微软雅黑" w:eastAsia="微软雅黑" w:hAnsi="微软雅黑" w:cs="微软雅黑" w:hint="eastAsia"/>
          <w:b/>
          <w:sz w:val="20"/>
          <w:lang w:eastAsia="zh-CN"/>
        </w:rPr>
        <w:t>壁垒三：可复制的工程方法。</w:t>
      </w:r>
      <w:r>
        <w:rPr>
          <w:rFonts w:ascii="微软雅黑" w:eastAsia="微软雅黑" w:hAnsi="微软雅黑" w:cs="微软雅黑" w:hint="eastAsia"/>
          <w:sz w:val="20"/>
          <w:lang w:eastAsia="zh-CN"/>
        </w:rPr>
        <w:t xml:space="preserve"> 项目采用两条工程策略控制交付风险：</w:t>
      </w:r>
    </w:p>
    <w:p>
      <w:pPr>
        <w:pStyle w:val="ListNumber"/>
        <w:numPr>
          <w:ilvl w:val="0"/>
          <w:numId w:val="13"/>
        </w:numPr>
        <w:spacing w:after="60"/>
        <w:jc w:val="both"/>
      </w:pPr>
      <w:r>
        <w:rPr>
          <w:rFonts w:ascii="微软雅黑" w:eastAsia="微软雅黑" w:hAnsi="微软雅黑" w:cs="微软雅黑" w:hint="eastAsia"/>
          <w:b/>
          <w:sz w:val="20"/>
          <w:lang w:eastAsia="zh-CN"/>
        </w:rPr>
        <w:t>契约先行</w:t>
      </w:r>
      <w:r>
        <w:rPr>
          <w:sz w:val="20"/>
        </w:rPr>
        <w:t>——</w:t>
      </w:r>
      <w:r>
        <w:rPr>
          <w:rFonts w:ascii="微软雅黑" w:eastAsia="微软雅黑" w:hAnsi="微软雅黑" w:cs="微软雅黑" w:hint="eastAsia"/>
          <w:sz w:val="20"/>
          <w:lang w:eastAsia="zh-CN"/>
        </w:rPr>
        <w:t>数据模型、接口签名与返回结构先固化进接口契约文档，三人并行开发不靠口头约定、不互相猜测。这既是团队协作方式，也是交付给客户的技术资产（接口可自动生成文档）。</w:t>
      </w:r>
    </w:p>
    <w:p>
      <w:pPr>
        <w:pStyle w:val="ListNumber"/>
        <w:numPr>
          <w:ilvl w:val="0"/>
          <w:numId w:val="13"/>
        </w:numPr>
        <w:spacing w:after="60"/>
        <w:jc w:val="both"/>
      </w:pPr>
      <w:r>
        <w:rPr>
          <w:rFonts w:ascii="微软雅黑" w:eastAsia="微软雅黑" w:hAnsi="微软雅黑" w:cs="微软雅黑" w:hint="eastAsia"/>
          <w:b/>
          <w:sz w:val="20"/>
          <w:lang w:eastAsia="zh-CN"/>
        </w:rPr>
        <w:t>桩替身解耦</w:t>
      </w:r>
      <w:r>
        <w:rPr>
          <w:sz w:val="20"/>
        </w:rPr>
        <w:t>——</w:t>
      </w:r>
      <w:r>
        <w:rPr>
          <w:rFonts w:ascii="微软雅黑" w:eastAsia="微软雅黑" w:hAnsi="微软雅黑" w:cs="微软雅黑" w:hint="eastAsia"/>
          <w:sz w:val="20"/>
          <w:lang w:eastAsia="zh-CN"/>
        </w:rPr>
        <w:t>最慢、最不确定的环节先用替身顶上：识别环节先用</w:t>
      </w:r>
      <w:r>
        <w:rPr>
          <w:sz w:val="20"/>
        </w:rPr>
        <w:t>"</w:t>
      </w:r>
      <w:r>
        <w:rPr>
          <w:rFonts w:ascii="微软雅黑" w:eastAsia="微软雅黑" w:hAnsi="微软雅黑" w:cs="微软雅黑" w:hint="eastAsia"/>
          <w:sz w:val="20"/>
          <w:lang w:eastAsia="zh-CN"/>
        </w:rPr>
        <w:t>识别桩</w:t>
      </w:r>
      <w:r>
        <w:rPr>
          <w:sz w:val="20"/>
        </w:rPr>
        <w:t>"</w:t>
      </w:r>
      <w:r>
        <w:rPr>
          <w:rFonts w:ascii="微软雅黑" w:eastAsia="微软雅黑" w:hAnsi="微软雅黑" w:cs="微软雅黑" w:hint="eastAsia"/>
          <w:sz w:val="20"/>
          <w:lang w:eastAsia="zh-CN"/>
        </w:rPr>
        <w:t>（读标注文件）、提醒环节先用</w:t>
      </w:r>
      <w:r>
        <w:rPr>
          <w:sz w:val="20"/>
        </w:rPr>
        <w:t>"</w:t>
      </w:r>
      <w:r>
        <w:rPr>
          <w:rFonts w:ascii="微软雅黑" w:eastAsia="微软雅黑" w:hAnsi="微软雅黑" w:cs="微软雅黑" w:hint="eastAsia"/>
          <w:sz w:val="20"/>
          <w:lang w:eastAsia="zh-CN"/>
        </w:rPr>
        <w:t>沙箱</w:t>
      </w:r>
      <w:r>
        <w:rPr>
          <w:sz w:val="20"/>
        </w:rPr>
        <w:t>"</w:t>
      </w:r>
      <w:r>
        <w:rPr>
          <w:rFonts w:ascii="微软雅黑" w:eastAsia="微软雅黑" w:hAnsi="微软雅黑" w:cs="微软雅黑" w:hint="eastAsia"/>
          <w:sz w:val="20"/>
          <w:lang w:eastAsia="zh-CN"/>
        </w:rPr>
        <w:t>（写库</w:t>
      </w:r>
      <w:r>
        <w:rPr>
          <w:sz w:val="20"/>
        </w:rPr>
        <w:t xml:space="preserve"> + </w:t>
      </w:r>
      <w:r>
        <w:rPr>
          <w:rFonts w:ascii="微软雅黑" w:eastAsia="微软雅黑" w:hAnsi="微软雅黑" w:cs="微软雅黑" w:hint="eastAsia"/>
          <w:sz w:val="20"/>
          <w:lang w:eastAsia="zh-CN"/>
        </w:rPr>
        <w:t>日志）。</w:t>
      </w:r>
      <w:r>
        <w:rPr>
          <w:rFonts w:ascii="微软雅黑" w:eastAsia="微软雅黑" w:hAnsi="微软雅黑" w:cs="微软雅黑" w:hint="eastAsia"/>
          <w:b/>
          <w:sz w:val="20"/>
          <w:lang w:eastAsia="zh-CN"/>
        </w:rPr>
        <w:t>先用替身证明闭环能跑通，再逐段替换为真实模型与真实短信</w:t>
      </w:r>
      <w:r>
        <w:rPr>
          <w:rFonts w:ascii="微软雅黑" w:eastAsia="微软雅黑" w:hAnsi="微软雅黑" w:cs="微软雅黑" w:hint="eastAsia"/>
          <w:sz w:val="20"/>
          <w:lang w:eastAsia="zh-CN"/>
        </w:rPr>
        <w:t>，且真实实现与替身返回同一数据结构，替换时上层零改动。这套方法让</w:t>
      </w:r>
      <w:r>
        <w:rPr>
          <w:sz w:val="20"/>
        </w:rPr>
        <w:t>"</w:t>
      </w:r>
      <w:r>
        <w:rPr>
          <w:rFonts w:ascii="微软雅黑" w:eastAsia="微软雅黑" w:hAnsi="微软雅黑" w:cs="微软雅黑" w:hint="eastAsia"/>
          <w:sz w:val="20"/>
          <w:lang w:eastAsia="zh-CN"/>
        </w:rPr>
        <w:t>最慢的一环</w:t>
      </w:r>
      <w:r>
        <w:rPr>
          <w:sz w:val="20"/>
        </w:rPr>
        <w:t>"</w:t>
      </w:r>
      <w:r>
        <w:rPr>
          <w:rFonts w:ascii="微软雅黑" w:eastAsia="微软雅黑" w:hAnsi="微软雅黑" w:cs="微软雅黑" w:hint="eastAsia"/>
          <w:sz w:val="20"/>
          <w:lang w:eastAsia="zh-CN"/>
        </w:rPr>
        <w:t>不再阻塞整体交付。</w:t>
      </w:r>
    </w:p>
    <w:p>
      <w:pPr>
        <w:pStyle w:val="Heading3"/>
        <w:spacing w:line="300" w:lineRule="auto"/>
      </w:pPr>
      <w:r>
        <w:rPr>
          <w:rFonts w:ascii="微软雅黑" w:hAnsi="微软雅黑" w:eastAsia="微软雅黑" w:cs="微软雅黑" w:hint="eastAsia"/>
          <w:b/>
          <w:color w:val="1565C0"/>
          <w:sz w:val="22"/>
          <w:lang w:eastAsia="zh-CN"/>
        </w:rPr>
        <w:t>3.6 知识产权与合规安排</w:t>
      </w:r>
    </w:p>
    <w:p>
      <w:pPr>
        <w:pStyle w:val="ListBullet"/>
        <w:spacing w:after="60"/>
        <w:jc w:val="both"/>
      </w:pPr>
      <w:r>
        <w:rPr>
          <w:rFonts w:ascii="微软雅黑" w:eastAsia="微软雅黑" w:hAnsi="微软雅黑" w:cs="微软雅黑" w:hint="eastAsia"/>
          <w:b/>
          <w:sz w:val="20"/>
          <w:lang w:eastAsia="zh-CN"/>
        </w:rPr>
        <w:t>软件著作权</w:t>
      </w:r>
      <w:r>
        <w:rPr>
          <w:rFonts w:ascii="微软雅黑" w:eastAsia="微软雅黑" w:hAnsi="微软雅黑" w:cs="微软雅黑" w:hint="eastAsia"/>
          <w:sz w:val="20"/>
          <w:lang w:eastAsia="zh-CN"/>
        </w:rPr>
        <w:t>：项目结题阶段提交计算机软件著作权登记申请，条件允许时申请实用新型专利。</w:t>
      </w:r>
    </w:p>
    <w:p>
      <w:pPr>
        <w:pStyle w:val="ListBullet"/>
        <w:spacing w:after="60"/>
        <w:jc w:val="both"/>
      </w:pPr>
      <w:r>
        <w:rPr>
          <w:rFonts w:ascii="微软雅黑" w:eastAsia="微软雅黑" w:hAnsi="微软雅黑" w:cs="微软雅黑" w:hint="eastAsia"/>
          <w:b/>
          <w:sz w:val="20"/>
          <w:lang w:eastAsia="zh-CN"/>
        </w:rPr>
        <w:t>开源许可（关键合规项）</w:t>
      </w:r>
      <w:r>
        <w:rPr>
          <w:rFonts w:ascii="微软雅黑" w:eastAsia="微软雅黑" w:hAnsi="微软雅黑" w:cs="微软雅黑" w:hint="eastAsia"/>
          <w:sz w:val="20"/>
          <w:lang w:eastAsia="zh-CN"/>
        </w:rPr>
        <w:t>：当前使用的</w:t>
      </w:r>
      <w:r>
        <w:rPr>
          <w:sz w:val="20"/>
        </w:rPr>
        <w:t xml:space="preserve"> Ultralytics YOLO </w:t>
      </w:r>
      <w:r>
        <w:rPr>
          <w:rFonts w:ascii="微软雅黑" w:eastAsia="微软雅黑" w:hAnsi="微软雅黑" w:cs="微软雅黑" w:hint="eastAsia"/>
          <w:sz w:val="20"/>
          <w:lang w:eastAsia="zh-CN"/>
        </w:rPr>
        <w:t>系列默认采用</w:t>
      </w:r>
      <w:r>
        <w:rPr>
          <w:sz w:val="20"/>
        </w:rPr>
        <w:t xml:space="preserve"> </w:t>
      </w:r>
      <w:r>
        <w:rPr>
          <w:b/>
          <w:sz w:val="20"/>
        </w:rPr>
        <w:t>AGPL-3.0</w:t>
      </w:r>
      <w:r>
        <w:rPr>
          <w:sz w:val="20"/>
        </w:rPr>
        <w:t xml:space="preserve"> </w:t>
      </w:r>
      <w:r>
        <w:rPr>
          <w:rFonts w:ascii="微软雅黑" w:eastAsia="微软雅黑" w:hAnsi="微软雅黑" w:cs="微软雅黑" w:hint="eastAsia"/>
          <w:sz w:val="20"/>
          <w:lang w:eastAsia="zh-CN"/>
        </w:rPr>
        <w:t>许可。</w:t>
      </w:r>
      <w:r>
        <w:rPr>
          <w:sz w:val="20"/>
        </w:rPr>
        <w:t xml:space="preserve">AGPL-3.0 </w:t>
      </w:r>
      <w:r>
        <w:rPr>
          <w:rFonts w:ascii="微软雅黑" w:eastAsia="微软雅黑" w:hAnsi="微软雅黑" w:cs="微软雅黑" w:hint="eastAsia"/>
          <w:sz w:val="20"/>
          <w:lang w:eastAsia="zh-CN"/>
        </w:rPr>
        <w:t>的网络服务条款要求：若以网络服务方式向用户提供服务，须向用户开放整个应用的源代码。因此：</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阶段</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合规安排</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校内研发与竞赛阶段</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属非商业原型，</w:t>
            </w:r>
            <w:r>
              <w:rPr>
                <w:color w:val="212121"/>
                <w:sz w:val="16"/>
              </w:rPr>
              <w:t xml:space="preserve"> </w:t>
            </w:r>
            <w:r>
              <w:rPr>
                <w:color w:val="212121"/>
                <w:sz w:val="16"/>
              </w:rPr>
              <w:t xml:space="preserve">AGPL-3.0 </w:t>
            </w:r>
            <w:r>
              <w:rPr>
                <w:color w:val="212121"/>
                <w:sz w:val="16"/>
              </w:rPr>
              <w:t xml:space="preserve"> </w:t>
            </w:r>
            <w:r>
              <w:rPr>
                <w:color w:val="212121"/>
                <w:sz w:val="16"/>
              </w:rPr>
              <w:t>允许自由使用</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对外商业交付前</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必须二选一：</w:t>
            </w:r>
            <w:r>
              <w:rPr>
                <w:color w:val="212121"/>
                <w:sz w:val="16"/>
              </w:rPr>
              <w:t xml:space="preserve"> </w:t>
            </w:r>
            <w:r>
              <w:rPr>
                <w:color w:val="212121"/>
                <w:sz w:val="16"/>
              </w:rPr>
              <w:t xml:space="preserve">① </w:t>
            </w:r>
            <w:r>
              <w:rPr>
                <w:color w:val="212121"/>
                <w:sz w:val="16"/>
              </w:rPr>
              <w:t xml:space="preserve"> </w:t>
            </w:r>
            <w:r>
              <w:rPr>
                <w:color w:val="212121"/>
                <w:sz w:val="16"/>
              </w:rPr>
              <w:t>向</w:t>
            </w:r>
            <w:r>
              <w:rPr>
                <w:color w:val="212121"/>
                <w:sz w:val="16"/>
              </w:rPr>
              <w:t xml:space="preserve"> </w:t>
            </w:r>
            <w:r>
              <w:rPr>
                <w:color w:val="212121"/>
                <w:sz w:val="16"/>
              </w:rPr>
              <w:t xml:space="preserve"> Ultralytics </w:t>
            </w:r>
            <w:r>
              <w:rPr>
                <w:color w:val="212121"/>
                <w:sz w:val="16"/>
              </w:rPr>
              <w:t xml:space="preserve"> </w:t>
            </w:r>
            <w:r>
              <w:rPr>
                <w:color w:val="212121"/>
                <w:sz w:val="16"/>
              </w:rPr>
              <w:t>取得</w:t>
            </w:r>
            <w:r>
              <w:rPr>
                <w:color w:val="212121"/>
                <w:sz w:val="16"/>
              </w:rPr>
              <w:t xml:space="preserve"> </w:t>
            </w:r>
            <w:r>
              <w:rPr>
                <w:color w:val="212121"/>
                <w:sz w:val="16"/>
              </w:rPr>
              <w:t xml:space="preserve"> </w:t>
            </w:r>
            <w:r>
              <w:rPr>
                <w:color w:val="212121"/>
                <w:sz w:val="16"/>
              </w:rPr>
              <w:t xml:space="preserve"> </w:t>
            </w:r>
            <w:r>
              <w:rPr>
                <w:b/>
                <w:color w:val="212121"/>
                <w:sz w:val="16"/>
              </w:rPr>
              <w:t>Enterprise License</w:t>
            </w:r>
            <w:r>
              <w:rPr>
                <w:color w:val="212121"/>
                <w:sz w:val="16"/>
              </w:rPr>
              <w:t xml:space="preserve"> </w:t>
            </w:r>
            <w:r>
              <w:rPr>
                <w:color w:val="212121"/>
                <w:sz w:val="16"/>
              </w:rPr>
              <w:t>（官方需询价，第三方资料给出的量级参考为</w:t>
            </w:r>
            <w:r>
              <w:rPr>
                <w:color w:val="212121"/>
                <w:sz w:val="16"/>
              </w:rPr>
              <w:t xml:space="preserve"> </w:t>
            </w:r>
            <w:r>
              <w:rPr>
                <w:color w:val="212121"/>
                <w:sz w:val="16"/>
              </w:rPr>
              <w:t xml:space="preserve"> 10K </w:t>
            </w:r>
            <w:r>
              <w:rPr>
                <w:color w:val="212121"/>
                <w:sz w:val="16"/>
              </w:rPr>
              <w:t xml:space="preserve"> </w:t>
            </w:r>
            <w:r>
              <w:rPr>
                <w:color w:val="212121"/>
                <w:sz w:val="16"/>
              </w:rPr>
              <w:t>美元</w:t>
            </w:r>
            <w:r>
              <w:rPr>
                <w:color w:val="212121"/>
                <w:sz w:val="16"/>
              </w:rPr>
              <w:t xml:space="preserve"> </w:t>
            </w:r>
            <w:r>
              <w:rPr>
                <w:color w:val="212121"/>
                <w:sz w:val="16"/>
              </w:rPr>
              <w:t>/</w:t>
            </w:r>
            <w:r>
              <w:rPr>
                <w:color w:val="212121"/>
                <w:sz w:val="16"/>
              </w:rPr>
              <w:t xml:space="preserve"> </w:t>
            </w:r>
            <w:r>
              <w:rPr>
                <w:color w:val="212121"/>
                <w:sz w:val="16"/>
              </w:rPr>
              <w:t>年级别，需以实际报价为准）；</w:t>
            </w:r>
            <w:r>
              <w:rPr>
                <w:color w:val="212121"/>
                <w:sz w:val="16"/>
              </w:rPr>
              <w:t xml:space="preserve"> </w:t>
            </w:r>
            <w:r>
              <w:rPr>
                <w:color w:val="212121"/>
                <w:sz w:val="16"/>
              </w:rPr>
              <w:t xml:space="preserve">② </w:t>
            </w:r>
            <w:r>
              <w:rPr>
                <w:color w:val="212121"/>
                <w:sz w:val="16"/>
              </w:rPr>
              <w:t xml:space="preserve"> </w:t>
            </w:r>
            <w:r>
              <w:rPr>
                <w:color w:val="212121"/>
                <w:sz w:val="16"/>
              </w:rPr>
              <w:t>将检测模型切换至</w:t>
            </w:r>
            <w:r>
              <w:rPr>
                <w:color w:val="212121"/>
                <w:sz w:val="16"/>
              </w:rPr>
              <w:t xml:space="preserve"> </w:t>
            </w:r>
            <w:r>
              <w:rPr>
                <w:color w:val="212121"/>
                <w:sz w:val="16"/>
              </w:rPr>
              <w:t xml:space="preserve"> Apache-2.0 </w:t>
            </w:r>
            <w:r>
              <w:rPr>
                <w:color w:val="212121"/>
                <w:sz w:val="16"/>
              </w:rPr>
              <w:t xml:space="preserve"> </w:t>
            </w:r>
            <w:r>
              <w:rPr>
                <w:color w:val="212121"/>
                <w:sz w:val="16"/>
              </w:rPr>
              <w:t>许可的替代方案（如</w:t>
            </w:r>
            <w:r>
              <w:rPr>
                <w:color w:val="212121"/>
                <w:sz w:val="16"/>
              </w:rPr>
              <w:t xml:space="preserve"> </w:t>
            </w:r>
            <w:r>
              <w:rPr>
                <w:color w:val="212121"/>
                <w:sz w:val="16"/>
              </w:rPr>
              <w:t xml:space="preserve"> RT-DETR</w:t>
            </w:r>
            <w:r>
              <w:rPr>
                <w:color w:val="212121"/>
                <w:sz w:val="16"/>
              </w:rPr>
              <w:t xml:space="preserve"> </w:t>
            </w:r>
            <w:r>
              <w:rPr>
                <w:color w:val="212121"/>
                <w:sz w:val="16"/>
              </w:rPr>
              <w:t>、</w:t>
            </w:r>
            <w:r>
              <w:rPr>
                <w:color w:val="212121"/>
                <w:sz w:val="16"/>
              </w:rPr>
              <w:t xml:space="preserve"> </w:t>
            </w:r>
            <w:r>
              <w:rPr>
                <w:color w:val="212121"/>
                <w:sz w:val="16"/>
              </w:rPr>
              <w:t xml:space="preserve">RF-DETR </w:t>
            </w:r>
            <w:r>
              <w:rPr>
                <w:color w:val="212121"/>
                <w:sz w:val="16"/>
              </w:rPr>
              <w:t xml:space="preserve"> </w:t>
            </w:r>
            <w:r>
              <w:rPr>
                <w:color w:val="212121"/>
                <w:sz w:val="16"/>
              </w:rPr>
              <w:t>等），并逐个核对权重与依赖的许可</w:t>
            </w:r>
          </w:p>
        </w:tc>
      </w:tr>
    </w:tbl>
    <w:p>
      <w:pPr>
        <w:jc w:val="both"/>
      </w:pPr>
      <w:r>
        <w:rPr>
          <w:rFonts w:ascii="微软雅黑" w:eastAsia="微软雅黑" w:hAnsi="微软雅黑" w:cs="微软雅黑" w:hint="eastAsia"/>
          <w:sz w:val="20"/>
          <w:lang w:eastAsia="zh-CN"/>
        </w:rPr>
        <w:t>该事项已作为独立风险项（</w:t>
      </w:r>
      <w:r>
        <w:rPr>
          <w:sz w:val="20"/>
        </w:rPr>
        <w:t>R3</w:t>
      </w:r>
      <w:r>
        <w:rPr>
          <w:rFonts w:ascii="微软雅黑" w:eastAsia="微软雅黑" w:hAnsi="微软雅黑" w:cs="微软雅黑" w:hint="eastAsia"/>
          <w:sz w:val="20"/>
          <w:lang w:eastAsia="zh-CN"/>
        </w:rPr>
        <w:t>）列入第九章，并设定明确决策点，不留给交付期解决。</w:t>
      </w:r>
    </w:p>
    <w:p>
      <w:pPr>
        <w:pStyle w:val="ListBullet"/>
        <w:spacing w:after="60"/>
        <w:jc w:val="both"/>
      </w:pPr>
      <w:r>
        <w:rPr>
          <w:rFonts w:ascii="微软雅黑" w:eastAsia="微软雅黑" w:hAnsi="微软雅黑" w:cs="微软雅黑" w:hint="eastAsia"/>
          <w:b/>
          <w:sz w:val="20"/>
          <w:lang w:eastAsia="zh-CN"/>
        </w:rPr>
        <w:t>数据合规</w:t>
      </w:r>
      <w:r>
        <w:rPr>
          <w:rFonts w:ascii="微软雅黑" w:eastAsia="微软雅黑" w:hAnsi="微软雅黑" w:cs="微软雅黑" w:hint="eastAsia"/>
          <w:sz w:val="20"/>
          <w:lang w:eastAsia="zh-CN"/>
        </w:rPr>
        <w:t>：车牌号属于个人信息。产品设计上遵循最小必要原则</w:t>
      </w:r>
      <w:r>
        <w:rPr>
          <w:sz w:val="20"/>
        </w:rPr>
        <w:t>——</w:t>
      </w:r>
      <w:r>
        <w:rPr>
          <w:rFonts w:ascii="微软雅黑" w:eastAsia="微软雅黑" w:hAnsi="微软雅黑" w:cs="微软雅黑" w:hint="eastAsia"/>
          <w:sz w:val="20"/>
          <w:lang w:eastAsia="zh-CN"/>
        </w:rPr>
        <w:t>车牌以脱敏形式展示、仅存储管理必需字段、记录访问留有审计痕迹，符合《个人信息保护法》对处理个人信息的要求。</w:t>
      </w:r>
    </w:p>
    <w:p>
      <w:bookmarkStart w:id="15" w:name="_Toc_section_4"/>
      <w:bookmarkStart w:id="3" w:name="section-4"/>
      <w:pPr>
        <w:pStyle w:val="Heading2"/>
        <w:spacing w:line="300" w:lineRule="auto"/>
      </w:pPr>
      <w:bookmarkEnd w:id="3"/>
      <w:r>
        <w:rPr>
          <w:rFonts w:ascii="微软雅黑" w:hAnsi="微软雅黑" w:eastAsia="微软雅黑" w:cs="微软雅黑" w:hint="eastAsia"/>
          <w:b/>
          <w:color w:val="1A237E"/>
          <w:sz w:val="26"/>
          <w:lang w:eastAsia="zh-CN"/>
        </w:rPr>
        <w:t>四、商业模式</w:t>
      </w:r>
      <w:bookmarkEnd w:id="15"/>
    </w:p>
    <w:p>
      <w:pPr>
        <w:jc w:val="both"/>
      </w:pPr>
      <w:r>
        <w:rPr>
          <w:rFonts w:ascii="微软雅黑" w:eastAsia="微软雅黑" w:hAnsi="微软雅黑" w:cs="微软雅黑" w:hint="eastAsia"/>
          <w:sz w:val="20"/>
          <w:lang w:eastAsia="zh-CN"/>
        </w:rPr>
        <w:t>本章说明客户与价值主张、收入结构、定价依据、成本结构与单位经济模型。</w:t>
      </w:r>
    </w:p>
    <w:p>
      <w:pPr>
        <w:pStyle w:val="Heading3"/>
        <w:spacing w:line="300" w:lineRule="auto"/>
      </w:pPr>
      <w:r>
        <w:rPr>
          <w:rFonts w:ascii="微软雅黑" w:hAnsi="微软雅黑" w:eastAsia="微软雅黑" w:cs="微软雅黑" w:hint="eastAsia"/>
          <w:b/>
          <w:color w:val="1565C0"/>
          <w:sz w:val="22"/>
          <w:lang w:eastAsia="zh-CN"/>
        </w:rPr>
        <w:t>4.1 模式总览</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要素</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内容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客户</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高校、党政机关与公共机构后勤管理部门（</w:t>
            </w:r>
            <w:r>
              <w:rPr>
                <w:color w:val="212121"/>
                <w:sz w:val="16"/>
              </w:rPr>
              <w:t xml:space="preserve"> </w:t>
            </w:r>
            <w:r>
              <w:rPr>
                <w:color w:val="212121"/>
                <w:sz w:val="16"/>
              </w:rPr>
              <w:t xml:space="preserve">B </w:t>
            </w:r>
            <w:r>
              <w:rPr>
                <w:color w:val="212121"/>
                <w:sz w:val="16"/>
              </w:rPr>
              <w:t xml:space="preserve"> </w:t>
            </w:r>
            <w:r>
              <w:rPr>
                <w:color w:val="212121"/>
                <w:sz w:val="16"/>
              </w:rPr>
              <w:t>端</w:t>
            </w:r>
            <w:r>
              <w:rPr>
                <w:color w:val="212121"/>
                <w:sz w:val="16"/>
              </w:rPr>
              <w:t xml:space="preserve"> </w:t>
            </w:r>
            <w:r>
              <w:rPr>
                <w:color w:val="212121"/>
                <w:sz w:val="16"/>
              </w:rPr>
              <w:t xml:space="preserve"> / G </w:t>
            </w:r>
            <w:r>
              <w:rPr>
                <w:color w:val="212121"/>
                <w:sz w:val="16"/>
              </w:rPr>
              <w:t xml:space="preserve"> </w:t>
            </w:r>
            <w:r>
              <w:rPr>
                <w:color w:val="212121"/>
                <w:sz w:val="16"/>
              </w:rPr>
              <w:t>端，非</w:t>
            </w:r>
            <w:r>
              <w:rPr>
                <w:color w:val="212121"/>
                <w:sz w:val="16"/>
              </w:rPr>
              <w:t xml:space="preserve"> </w:t>
            </w:r>
            <w:r>
              <w:rPr>
                <w:color w:val="212121"/>
                <w:sz w:val="16"/>
              </w:rPr>
              <w:t xml:space="preserve"> C </w:t>
            </w:r>
            <w:r>
              <w:rPr>
                <w:color w:val="212121"/>
                <w:sz w:val="16"/>
              </w:rPr>
              <w:t xml:space="preserve"> </w:t>
            </w:r>
            <w:r>
              <w:rPr>
                <w:color w:val="212121"/>
                <w:sz w:val="16"/>
              </w:rPr>
              <w:t>端）</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价值主张</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把充电车位管理从</w:t>
            </w:r>
            <w:r>
              <w:rPr>
                <w:color w:val="212121"/>
                <w:sz w:val="16"/>
              </w:rPr>
              <w:t xml:space="preserve"> </w:t>
            </w:r>
            <w:r>
              <w:rPr>
                <w:color w:val="212121"/>
                <w:sz w:val="16"/>
              </w:rPr>
              <w:t>"</w:t>
            </w:r>
            <w:r>
              <w:rPr>
                <w:color w:val="212121"/>
                <w:sz w:val="16"/>
              </w:rPr>
              <w:t xml:space="preserve"> </w:t>
            </w:r>
            <w:r>
              <w:rPr>
                <w:color w:val="212121"/>
                <w:sz w:val="16"/>
              </w:rPr>
              <w:t>人工巡查</w:t>
            </w:r>
            <w:r>
              <w:rPr>
                <w:color w:val="212121"/>
                <w:sz w:val="16"/>
              </w:rPr>
              <w:t xml:space="preserve"> </w:t>
            </w:r>
            <w:r>
              <w:rPr>
                <w:color w:val="212121"/>
                <w:sz w:val="16"/>
              </w:rPr>
              <w:t>"</w:t>
            </w:r>
            <w:r>
              <w:rPr>
                <w:color w:val="212121"/>
                <w:sz w:val="16"/>
              </w:rPr>
              <w:t xml:space="preserve"> </w:t>
            </w:r>
            <w:r>
              <w:rPr>
                <w:color w:val="212121"/>
                <w:sz w:val="16"/>
              </w:rPr>
              <w:t>变成</w:t>
            </w:r>
            <w:r>
              <w:rPr>
                <w:color w:val="212121"/>
                <w:sz w:val="16"/>
              </w:rPr>
              <w:t xml:space="preserve"> </w:t>
            </w:r>
            <w:r>
              <w:rPr>
                <w:color w:val="212121"/>
                <w:sz w:val="16"/>
              </w:rPr>
              <w:t>"</w:t>
            </w:r>
            <w:r>
              <w:rPr>
                <w:color w:val="212121"/>
                <w:sz w:val="16"/>
              </w:rPr>
              <w:t xml:space="preserve"> </w:t>
            </w:r>
            <w:r>
              <w:rPr>
                <w:color w:val="212121"/>
                <w:sz w:val="16"/>
              </w:rPr>
              <w:t>自动识别</w:t>
            </w:r>
            <w:r>
              <w:rPr>
                <w:color w:val="212121"/>
                <w:sz w:val="16"/>
              </w:rPr>
              <w:t xml:space="preserve"> </w:t>
            </w:r>
            <w:r>
              <w:rPr>
                <w:color w:val="212121"/>
                <w:sz w:val="16"/>
              </w:rPr>
              <w:t xml:space="preserve"> + </w:t>
            </w:r>
            <w:r>
              <w:rPr>
                <w:color w:val="212121"/>
                <w:sz w:val="16"/>
              </w:rPr>
              <w:t xml:space="preserve"> </w:t>
            </w:r>
            <w:r>
              <w:rPr>
                <w:color w:val="212121"/>
                <w:sz w:val="16"/>
              </w:rPr>
              <w:t>主动提醒</w:t>
            </w:r>
            <w:r>
              <w:rPr>
                <w:color w:val="212121"/>
                <w:sz w:val="16"/>
              </w:rPr>
              <w:t xml:space="preserve"> </w:t>
            </w:r>
            <w:r>
              <w:rPr>
                <w:color w:val="212121"/>
                <w:sz w:val="16"/>
              </w:rPr>
              <w:t xml:space="preserve"> + </w:t>
            </w:r>
            <w:r>
              <w:rPr>
                <w:color w:val="212121"/>
                <w:sz w:val="16"/>
              </w:rPr>
              <w:t xml:space="preserve"> </w:t>
            </w:r>
            <w:r>
              <w:rPr>
                <w:color w:val="212121"/>
                <w:sz w:val="16"/>
              </w:rPr>
              <w:t>结构化留痕</w:t>
            </w:r>
            <w:r>
              <w:rPr>
                <w:color w:val="212121"/>
                <w:sz w:val="16"/>
              </w:rPr>
              <w:t xml:space="preserve"> </w:t>
            </w:r>
            <w:r>
              <w:rPr>
                <w:color w:val="212121"/>
                <w:sz w:val="16"/>
              </w:rPr>
              <w:t>"</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交付物</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软件平台（识别服务</w:t>
            </w:r>
            <w:r>
              <w:rPr>
                <w:color w:val="212121"/>
                <w:sz w:val="16"/>
              </w:rPr>
              <w:t xml:space="preserve"> </w:t>
            </w:r>
            <w:r>
              <w:rPr>
                <w:color w:val="212121"/>
                <w:sz w:val="16"/>
              </w:rPr>
              <w:t xml:space="preserve"> + </w:t>
            </w:r>
            <w:r>
              <w:rPr>
                <w:color w:val="212121"/>
                <w:sz w:val="16"/>
              </w:rPr>
              <w:t xml:space="preserve"> </w:t>
            </w:r>
            <w:r>
              <w:rPr>
                <w:color w:val="212121"/>
                <w:sz w:val="16"/>
              </w:rPr>
              <w:t>规则引擎</w:t>
            </w:r>
            <w:r>
              <w:rPr>
                <w:color w:val="212121"/>
                <w:sz w:val="16"/>
              </w:rPr>
              <w:t xml:space="preserve"> </w:t>
            </w:r>
            <w:r>
              <w:rPr>
                <w:color w:val="212121"/>
                <w:sz w:val="16"/>
              </w:rPr>
              <w:t xml:space="preserve"> + </w:t>
            </w:r>
            <w:r>
              <w:rPr>
                <w:color w:val="212121"/>
                <w:sz w:val="16"/>
              </w:rPr>
              <w:t xml:space="preserve"> </w:t>
            </w:r>
            <w:r>
              <w:rPr>
                <w:color w:val="212121"/>
                <w:sz w:val="16"/>
              </w:rPr>
              <w:t>六页后台）</w:t>
            </w:r>
            <w:r>
              <w:rPr>
                <w:color w:val="212121"/>
                <w:sz w:val="16"/>
              </w:rPr>
              <w:t xml:space="preserve"> </w:t>
            </w:r>
            <w:r>
              <w:rPr>
                <w:color w:val="212121"/>
                <w:sz w:val="16"/>
              </w:rPr>
              <w:t xml:space="preserve">+ </w:t>
            </w:r>
            <w:r>
              <w:rPr>
                <w:color w:val="212121"/>
                <w:sz w:val="16"/>
              </w:rPr>
              <w:t xml:space="preserve"> </w:t>
            </w:r>
            <w:r>
              <w:rPr>
                <w:color w:val="212121"/>
                <w:sz w:val="16"/>
              </w:rPr>
              <w:t>部署实施</w:t>
            </w:r>
            <w:r>
              <w:rPr>
                <w:color w:val="212121"/>
                <w:sz w:val="16"/>
              </w:rPr>
              <w:t xml:space="preserve"> </w:t>
            </w:r>
            <w:r>
              <w:rPr>
                <w:color w:val="212121"/>
                <w:sz w:val="16"/>
              </w:rPr>
              <w:t xml:space="preserve"> + </w:t>
            </w:r>
            <w:r>
              <w:rPr>
                <w:color w:val="212121"/>
                <w:sz w:val="16"/>
              </w:rPr>
              <w:t xml:space="preserve"> </w:t>
            </w:r>
            <w:r>
              <w:rPr>
                <w:color w:val="212121"/>
                <w:sz w:val="16"/>
              </w:rPr>
              <w:t>场景适配</w:t>
            </w:r>
            <w:r>
              <w:rPr>
                <w:color w:val="212121"/>
                <w:sz w:val="16"/>
              </w:rPr>
              <w:t xml:space="preserve"> </w:t>
            </w:r>
            <w:r>
              <w:rPr>
                <w:color w:val="212121"/>
                <w:sz w:val="16"/>
              </w:rPr>
              <w:t xml:space="preserve"> + </w:t>
            </w:r>
            <w:r>
              <w:rPr>
                <w:color w:val="212121"/>
                <w:sz w:val="16"/>
              </w:rPr>
              <w:t xml:space="preserve"> </w:t>
            </w:r>
            <w:r>
              <w:rPr>
                <w:color w:val="212121"/>
                <w:sz w:val="16"/>
              </w:rPr>
              <w:t>持续运维</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收费方式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一次性部署费</w:t>
            </w:r>
            <w:r>
              <w:rPr>
                <w:color w:val="212121"/>
                <w:sz w:val="16"/>
              </w:rPr>
              <w:t xml:space="preserve"> </w:t>
            </w:r>
            <w:r>
              <w:rPr>
                <w:color w:val="212121"/>
                <w:sz w:val="16"/>
              </w:rPr>
              <w:t xml:space="preserve"> + </w:t>
            </w:r>
            <w:r>
              <w:rPr>
                <w:color w:val="212121"/>
                <w:sz w:val="16"/>
              </w:rPr>
              <w:t xml:space="preserve"> </w:t>
            </w:r>
            <w:r>
              <w:rPr>
                <w:color w:val="212121"/>
                <w:sz w:val="16"/>
              </w:rPr>
              <w:t>年度点位授权费</w:t>
            </w:r>
            <w:r>
              <w:rPr>
                <w:color w:val="212121"/>
                <w:sz w:val="16"/>
              </w:rPr>
              <w:t xml:space="preserve"> </w:t>
            </w:r>
            <w:r>
              <w:rPr>
                <w:color w:val="212121"/>
                <w:sz w:val="16"/>
              </w:rPr>
              <w:t xml:space="preserve"> + </w:t>
            </w:r>
            <w:r>
              <w:rPr>
                <w:color w:val="212121"/>
                <w:sz w:val="16"/>
              </w:rPr>
              <w:t xml:space="preserve"> </w:t>
            </w:r>
            <w:r>
              <w:rPr>
                <w:color w:val="212121"/>
                <w:sz w:val="16"/>
              </w:rPr>
              <w:t>短信通道费</w:t>
            </w:r>
            <w:r>
              <w:rPr>
                <w:color w:val="212121"/>
                <w:sz w:val="16"/>
              </w:rPr>
              <w:t xml:space="preserve"> </w:t>
            </w:r>
            <w:r>
              <w:rPr>
                <w:color w:val="212121"/>
                <w:sz w:val="16"/>
              </w:rPr>
              <w:t xml:space="preserve"> + </w:t>
            </w:r>
            <w:r>
              <w:rPr>
                <w:color w:val="212121"/>
                <w:sz w:val="16"/>
              </w:rPr>
              <w:t xml:space="preserve"> </w:t>
            </w:r>
            <w:r>
              <w:rPr>
                <w:color w:val="212121"/>
                <w:sz w:val="16"/>
              </w:rPr>
              <w:t>可选增值模块</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成本结构</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交付与变动成本（实施人工、场景适配、云资源、短信、差旅）</w:t>
            </w:r>
            <w:r>
              <w:rPr>
                <w:color w:val="212121"/>
                <w:sz w:val="16"/>
              </w:rPr>
              <w:t xml:space="preserve"> </w:t>
            </w:r>
            <w:r>
              <w:rPr>
                <w:color w:val="212121"/>
                <w:sz w:val="16"/>
              </w:rPr>
              <w:t xml:space="preserve">+ </w:t>
            </w:r>
            <w:r>
              <w:rPr>
                <w:color w:val="212121"/>
                <w:sz w:val="16"/>
              </w:rPr>
              <w:t xml:space="preserve"> </w:t>
            </w:r>
            <w:r>
              <w:rPr>
                <w:color w:val="212121"/>
                <w:sz w:val="16"/>
              </w:rPr>
              <w:t>固定费用（人力、软件许可、市场推广）</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获客方式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母校示范场站</w:t>
            </w:r>
            <w:r>
              <w:rPr>
                <w:color w:val="212121"/>
                <w:sz w:val="16"/>
              </w:rPr>
              <w:t xml:space="preserve"> </w:t>
            </w:r>
            <w:r>
              <w:rPr>
                <w:color w:val="212121"/>
                <w:sz w:val="16"/>
              </w:rPr>
              <w:t xml:space="preserve"> → </w:t>
            </w:r>
            <w:r>
              <w:rPr>
                <w:color w:val="212121"/>
                <w:sz w:val="16"/>
              </w:rPr>
              <w:t xml:space="preserve"> </w:t>
            </w:r>
            <w:r>
              <w:rPr>
                <w:color w:val="212121"/>
                <w:sz w:val="16"/>
              </w:rPr>
              <w:t>高校间走访与后勤联盟</w:t>
            </w:r>
            <w:r>
              <w:rPr>
                <w:color w:val="212121"/>
                <w:sz w:val="16"/>
              </w:rPr>
              <w:t xml:space="preserve"> </w:t>
            </w:r>
            <w:r>
              <w:rPr>
                <w:color w:val="212121"/>
                <w:sz w:val="16"/>
              </w:rPr>
              <w:t xml:space="preserve"> → </w:t>
            </w:r>
            <w:r>
              <w:rPr>
                <w:color w:val="212121"/>
                <w:sz w:val="16"/>
              </w:rPr>
              <w:t xml:space="preserve"> </w:t>
            </w:r>
            <w:r>
              <w:rPr>
                <w:color w:val="212121"/>
                <w:sz w:val="16"/>
              </w:rPr>
              <w:t>公共机构主管部门推荐</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关键资源</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融合判断方法论、校园场景数据资产、可复制的部署模板</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关键伙伴</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充电桩运营商（状态数据与</w:t>
            </w:r>
            <w:r>
              <w:rPr>
                <w:color w:val="212121"/>
                <w:sz w:val="16"/>
              </w:rPr>
              <w:t xml:space="preserve"> </w:t>
            </w:r>
            <w:r>
              <w:rPr>
                <w:color w:val="212121"/>
                <w:sz w:val="16"/>
              </w:rPr>
              <w:t xml:space="preserve"> OCPP </w:t>
            </w:r>
            <w:r>
              <w:rPr>
                <w:color w:val="212121"/>
                <w:sz w:val="16"/>
              </w:rPr>
              <w:t xml:space="preserve"> </w:t>
            </w:r>
            <w:r>
              <w:rPr>
                <w:color w:val="212121"/>
                <w:sz w:val="16"/>
              </w:rPr>
              <w:t>对接）、高校后勤管理部门、属地机关事务管理部门</w:t>
            </w:r>
          </w:p>
        </w:tc>
      </w:tr>
    </w:tbl>
    <w:p>
      <w:pPr>
        <w:pStyle w:val="Heading3"/>
        <w:spacing w:line="300" w:lineRule="auto"/>
      </w:pPr>
      <w:r>
        <w:rPr>
          <w:rFonts w:ascii="微软雅黑" w:hAnsi="微软雅黑" w:eastAsia="微软雅黑" w:cs="微软雅黑" w:hint="eastAsia"/>
          <w:b/>
          <w:color w:val="1565C0"/>
          <w:sz w:val="22"/>
          <w:lang w:eastAsia="zh-CN"/>
        </w:rPr>
        <w:t>4.2 收入结构</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收入项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性质</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说明</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平台部署费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一次性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含软件部署、参数配置、场景适配、人员培训</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点位年度授权费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经常性（核心）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按纳入监管的充电车位数量计费，含算法迭代与后台托管</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短信通道费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用量计费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代发提醒短信，按条计费</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增值模块费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可选、一次性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占位费结算对接、监管平台数据上报、定制报表等</w:t>
            </w:r>
          </w:p>
        </w:tc>
      </w:tr>
    </w:tbl>
    <w:p>
      <w:pPr>
        <w:jc w:val="both"/>
      </w:pPr>
      <w:r>
        <w:rPr>
          <w:rFonts w:ascii="微软雅黑" w:eastAsia="微软雅黑" w:hAnsi="微软雅黑" w:cs="微软雅黑" w:hint="eastAsia"/>
          <w:sz w:val="20"/>
          <w:lang w:eastAsia="zh-CN"/>
        </w:rPr>
        <w:t>收入的健康度取决于第三项的经常性占比：随着存量场站累积，点位年费从第</w:t>
      </w:r>
      <w:r>
        <w:rPr>
          <w:sz w:val="20"/>
        </w:rPr>
        <w:t xml:space="preserve"> 1 </w:t>
      </w:r>
      <w:r>
        <w:rPr>
          <w:rFonts w:ascii="微软雅黑" w:eastAsia="微软雅黑" w:hAnsi="微软雅黑" w:cs="微软雅黑" w:hint="eastAsia"/>
          <w:sz w:val="20"/>
          <w:lang w:eastAsia="zh-CN"/>
        </w:rPr>
        <w:t>年的</w:t>
      </w:r>
      <w:r>
        <w:rPr>
          <w:sz w:val="20"/>
        </w:rPr>
        <w:t xml:space="preserve"> 0 </w:t>
      </w:r>
      <w:r>
        <w:rPr>
          <w:rFonts w:ascii="微软雅黑" w:eastAsia="微软雅黑" w:hAnsi="微软雅黑" w:cs="微软雅黑" w:hint="eastAsia"/>
          <w:sz w:val="20"/>
          <w:lang w:eastAsia="zh-CN"/>
        </w:rPr>
        <w:t>提升至第</w:t>
      </w:r>
      <w:r>
        <w:rPr>
          <w:sz w:val="20"/>
        </w:rPr>
        <w:t xml:space="preserve"> 3 </w:t>
      </w:r>
      <w:r>
        <w:rPr>
          <w:rFonts w:ascii="微软雅黑" w:eastAsia="微软雅黑" w:hAnsi="微软雅黑" w:cs="微软雅黑" w:hint="eastAsia"/>
          <w:sz w:val="20"/>
          <w:lang w:eastAsia="zh-CN"/>
        </w:rPr>
        <w:t>年的约</w:t>
      </w:r>
      <w:r>
        <w:rPr>
          <w:sz w:val="20"/>
        </w:rPr>
        <w:t xml:space="preserve"> 25.6 </w:t>
      </w:r>
      <w:r>
        <w:rPr>
          <w:rFonts w:ascii="微软雅黑" w:eastAsia="微软雅黑" w:hAnsi="微软雅黑" w:cs="微软雅黑" w:hint="eastAsia"/>
          <w:sz w:val="20"/>
          <w:lang w:eastAsia="zh-CN"/>
        </w:rPr>
        <w:t>万元，加上当年新增点位年费共</w:t>
      </w:r>
      <w:r>
        <w:rPr>
          <w:sz w:val="20"/>
        </w:rPr>
        <w:t xml:space="preserve"> 65.6 </w:t>
      </w:r>
      <w:r>
        <w:rPr>
          <w:rFonts w:ascii="微软雅黑" w:eastAsia="微软雅黑" w:hAnsi="微软雅黑" w:cs="微软雅黑" w:hint="eastAsia"/>
          <w:sz w:val="20"/>
          <w:lang w:eastAsia="zh-CN"/>
        </w:rPr>
        <w:t>万元，占第</w:t>
      </w:r>
      <w:r>
        <w:rPr>
          <w:sz w:val="20"/>
        </w:rPr>
        <w:t xml:space="preserve"> 3 </w:t>
      </w:r>
      <w:r>
        <w:rPr>
          <w:rFonts w:ascii="微软雅黑" w:eastAsia="微软雅黑" w:hAnsi="微软雅黑" w:cs="微软雅黑" w:hint="eastAsia"/>
          <w:sz w:val="20"/>
          <w:lang w:eastAsia="zh-CN"/>
        </w:rPr>
        <w:t>年收入的</w:t>
      </w:r>
      <w:r>
        <w:rPr>
          <w:sz w:val="20"/>
        </w:rPr>
        <w:t xml:space="preserve"> 46.7%</w:t>
      </w:r>
      <w:r>
        <w:rPr>
          <w:rFonts w:ascii="微软雅黑" w:eastAsia="微软雅黑" w:hAnsi="微软雅黑" w:cs="微软雅黑" w:hint="eastAsia"/>
          <w:sz w:val="20"/>
          <w:lang w:eastAsia="zh-CN"/>
        </w:rPr>
        <w:t>，</w:t>
      </w:r>
      <w:r>
        <w:rPr>
          <w:rFonts w:ascii="微软雅黑" w:eastAsia="微软雅黑" w:hAnsi="微软雅黑" w:cs="微软雅黑" w:hint="eastAsia"/>
          <w:b/>
          <w:sz w:val="20"/>
          <w:lang w:eastAsia="zh-CN"/>
        </w:rPr>
        <w:t>经常性收入占比接近一半</w:t>
      </w:r>
      <w:r>
        <w:rPr>
          <w:rFonts w:ascii="微软雅黑" w:eastAsia="微软雅黑" w:hAnsi="微软雅黑" w:cs="微软雅黑" w:hint="eastAsia"/>
          <w:sz w:val="20"/>
          <w:lang w:eastAsia="zh-CN"/>
        </w:rPr>
        <w:t>。这是本项目从</w:t>
      </w:r>
      <w:r>
        <w:rPr>
          <w:sz w:val="20"/>
        </w:rPr>
        <w:t>"</w:t>
      </w:r>
      <w:r>
        <w:rPr>
          <w:rFonts w:ascii="微软雅黑" w:eastAsia="微软雅黑" w:hAnsi="微软雅黑" w:cs="微软雅黑" w:hint="eastAsia"/>
          <w:sz w:val="20"/>
          <w:lang w:eastAsia="zh-CN"/>
        </w:rPr>
        <w:t>项目制交付</w:t>
      </w:r>
      <w:r>
        <w:rPr>
          <w:sz w:val="20"/>
        </w:rPr>
        <w:t>"</w:t>
      </w:r>
      <w:r>
        <w:rPr>
          <w:rFonts w:ascii="微软雅黑" w:eastAsia="微软雅黑" w:hAnsi="微软雅黑" w:cs="微软雅黑" w:hint="eastAsia"/>
          <w:sz w:val="20"/>
          <w:lang w:eastAsia="zh-CN"/>
        </w:rPr>
        <w:t>走向</w:t>
      </w:r>
      <w:r>
        <w:rPr>
          <w:sz w:val="20"/>
        </w:rPr>
        <w:t>"</w:t>
      </w:r>
      <w:r>
        <w:rPr>
          <w:rFonts w:ascii="微软雅黑" w:eastAsia="微软雅黑" w:hAnsi="微软雅黑" w:cs="微软雅黑" w:hint="eastAsia"/>
          <w:sz w:val="20"/>
          <w:lang w:eastAsia="zh-CN"/>
        </w:rPr>
        <w:t>可续约服务</w:t>
      </w:r>
      <w:r>
        <w:rPr>
          <w:sz w:val="20"/>
        </w:rPr>
        <w:t>"</w:t>
      </w:r>
      <w:r>
        <w:rPr>
          <w:rFonts w:ascii="微软雅黑" w:eastAsia="微软雅黑" w:hAnsi="微软雅黑" w:cs="微软雅黑" w:hint="eastAsia"/>
          <w:sz w:val="20"/>
          <w:lang w:eastAsia="zh-CN"/>
        </w:rPr>
        <w:t>的关键指标。</w:t>
      </w:r>
    </w:p>
    <w:p>
      <w:pPr>
        <w:pStyle w:val="Heading3"/>
        <w:spacing w:line="300" w:lineRule="auto"/>
      </w:pPr>
      <w:r>
        <w:rPr>
          <w:rFonts w:ascii="微软雅黑" w:hAnsi="微软雅黑" w:eastAsia="微软雅黑" w:cs="微软雅黑" w:hint="eastAsia"/>
          <w:b/>
          <w:color w:val="1565C0"/>
          <w:sz w:val="22"/>
          <w:lang w:eastAsia="zh-CN"/>
        </w:rPr>
        <w:t>4.3 定价策略与依据</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收费项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假设定价</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定价理由</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平台部署费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30,000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场站</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相当于</w:t>
            </w:r>
            <w:r>
              <w:rPr>
                <w:color w:val="212121"/>
                <w:sz w:val="16"/>
              </w:rPr>
              <w:t xml:space="preserve"> </w:t>
            </w:r>
            <w:r>
              <w:rPr>
                <w:color w:val="212121"/>
                <w:sz w:val="16"/>
              </w:rPr>
              <w:t xml:space="preserve"> 4–6 </w:t>
            </w:r>
            <w:r>
              <w:rPr>
                <w:color w:val="212121"/>
                <w:sz w:val="16"/>
              </w:rPr>
              <w:t xml:space="preserve"> </w:t>
            </w:r>
            <w:r>
              <w:rPr>
                <w:color w:val="212121"/>
                <w:sz w:val="16"/>
              </w:rPr>
              <w:t>人日的实施工程量；因为复用客户既有摄像头与服务器，显著低于需要硬件改造的同类方案</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点位年度授权费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车位</w:t>
            </w:r>
            <w:r>
              <w:rPr>
                <w:color w:val="212121"/>
                <w:sz w:val="16"/>
              </w:rPr>
              <w:t xml:space="preserve"> </w:t>
            </w:r>
            <w:r>
              <w:rPr>
                <w:color w:val="212121"/>
                <w:sz w:val="16"/>
              </w:rPr>
              <w:t>·</w:t>
            </w:r>
            <w:r>
              <w:rPr>
                <w:color w:val="212121"/>
                <w:sz w:val="16"/>
              </w:rPr>
              <w:t xml:space="preserve"> </w:t>
            </w:r>
            <w:r>
              <w:rPr>
                <w:color w:val="212121"/>
                <w:sz w:val="16"/>
              </w:rPr>
              <w:t>年</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折算每月不足</w:t>
            </w:r>
            <w:r>
              <w:rPr>
                <w:color w:val="212121"/>
                <w:sz w:val="16"/>
              </w:rPr>
              <w:t xml:space="preserve"> </w:t>
            </w:r>
            <w:r>
              <w:rPr>
                <w:color w:val="212121"/>
                <w:sz w:val="16"/>
              </w:rPr>
              <w:t xml:space="preserve"> 17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车位，低于一名巡查人员月度人力成本的零头；对一个</w:t>
            </w:r>
            <w:r>
              <w:rPr>
                <w:color w:val="212121"/>
                <w:sz w:val="16"/>
              </w:rPr>
              <w:t xml:space="preserve"> </w:t>
            </w:r>
            <w:r>
              <w:rPr>
                <w:color w:val="212121"/>
                <w:sz w:val="16"/>
              </w:rPr>
              <w:t xml:space="preserve"> 80 </w:t>
            </w:r>
            <w:r>
              <w:rPr>
                <w:color w:val="212121"/>
                <w:sz w:val="16"/>
              </w:rPr>
              <w:t xml:space="preserve"> </w:t>
            </w:r>
            <w:r>
              <w:rPr>
                <w:color w:val="212121"/>
                <w:sz w:val="16"/>
              </w:rPr>
              <w:t>车位场站即</w:t>
            </w:r>
            <w:r>
              <w:rPr>
                <w:color w:val="212121"/>
                <w:sz w:val="16"/>
              </w:rPr>
              <w:t xml:space="preserve"> </w:t>
            </w:r>
            <w:r>
              <w:rPr>
                <w:color w:val="212121"/>
                <w:sz w:val="16"/>
              </w:rPr>
              <w:t xml:space="preserve"> 1.6 </w:t>
            </w:r>
            <w:r>
              <w:rPr>
                <w:color w:val="212121"/>
                <w:sz w:val="16"/>
              </w:rPr>
              <w:t xml:space="preserve"> </w:t>
            </w:r>
            <w:r>
              <w:rPr>
                <w:color w:val="212121"/>
                <w:sz w:val="16"/>
              </w:rPr>
              <w:t>万元</w:t>
            </w:r>
            <w:r>
              <w:rPr>
                <w:color w:val="212121"/>
                <w:sz w:val="16"/>
              </w:rPr>
              <w:t xml:space="preserve"> </w:t>
            </w:r>
            <w:r>
              <w:rPr>
                <w:color w:val="212121"/>
                <w:sz w:val="16"/>
              </w:rPr>
              <w:t>/</w:t>
            </w:r>
            <w:r>
              <w:rPr>
                <w:color w:val="212121"/>
                <w:sz w:val="16"/>
              </w:rPr>
              <w:t xml:space="preserve"> </w:t>
            </w:r>
            <w:r>
              <w:rPr>
                <w:color w:val="212121"/>
                <w:sz w:val="16"/>
              </w:rPr>
              <w:t>年，落在高校与公共机构的常规信息化预算科目内</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短信通道费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0.08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条</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采购成本约</w:t>
            </w:r>
            <w:r>
              <w:rPr>
                <w:color w:val="212121"/>
                <w:sz w:val="16"/>
              </w:rPr>
              <w:t xml:space="preserve"> </w:t>
            </w:r>
            <w:r>
              <w:rPr>
                <w:color w:val="212121"/>
                <w:sz w:val="16"/>
              </w:rPr>
              <w:t xml:space="preserve"> 0.045–0.05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条，含通道与运维加价</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增值模块</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10,000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场站</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覆盖定制开发工作量</w:t>
            </w:r>
          </w:p>
        </w:tc>
      </w:tr>
    </w:tbl>
    <w:p>
      <w:pPr>
        <w:jc w:val="both"/>
      </w:pPr>
      <w:r>
        <w:rPr>
          <w:rFonts w:ascii="微软雅黑" w:eastAsia="微软雅黑" w:hAnsi="微软雅黑" w:cs="微软雅黑" w:hint="eastAsia"/>
          <w:b/>
          <w:sz w:val="20"/>
          <w:lang w:eastAsia="zh-CN"/>
        </w:rPr>
        <w:t>定价原则</w:t>
      </w:r>
      <w:r>
        <w:rPr>
          <w:rFonts w:ascii="微软雅黑" w:eastAsia="微软雅黑" w:hAnsi="微软雅黑" w:cs="微软雅黑" w:hint="eastAsia"/>
          <w:sz w:val="20"/>
          <w:lang w:eastAsia="zh-CN"/>
        </w:rPr>
        <w:t>：让客户的年度支出低于其现有巡查成本，使采纳决策不依赖</w:t>
      </w:r>
      <w:r>
        <w:rPr>
          <w:sz w:val="20"/>
        </w:rPr>
        <w:t>"</w:t>
      </w:r>
      <w:r>
        <w:rPr>
          <w:rFonts w:ascii="微软雅黑" w:eastAsia="微软雅黑" w:hAnsi="微软雅黑" w:cs="微软雅黑" w:hint="eastAsia"/>
          <w:sz w:val="20"/>
          <w:lang w:eastAsia="zh-CN"/>
        </w:rPr>
        <w:t>新增预算</w:t>
      </w:r>
      <w:r>
        <w:rPr>
          <w:sz w:val="20"/>
        </w:rPr>
        <w:t>"</w:t>
      </w:r>
      <w:r>
        <w:rPr>
          <w:rFonts w:ascii="微软雅黑" w:eastAsia="微软雅黑" w:hAnsi="微软雅黑" w:cs="微软雅黑" w:hint="eastAsia"/>
          <w:sz w:val="20"/>
          <w:lang w:eastAsia="zh-CN"/>
        </w:rPr>
        <w:t>而依赖</w:t>
      </w:r>
      <w:r>
        <w:rPr>
          <w:sz w:val="20"/>
        </w:rPr>
        <w:t>"</w:t>
      </w:r>
      <w:r>
        <w:rPr>
          <w:rFonts w:ascii="微软雅黑" w:eastAsia="微软雅黑" w:hAnsi="微软雅黑" w:cs="微软雅黑" w:hint="eastAsia"/>
          <w:sz w:val="20"/>
          <w:lang w:eastAsia="zh-CN"/>
        </w:rPr>
        <w:t>替换原有支出</w:t>
      </w:r>
      <w:r>
        <w:rPr>
          <w:sz w:val="20"/>
        </w:rPr>
        <w:t>"</w:t>
      </w:r>
      <w:r>
        <w:rPr>
          <w:rFonts w:ascii="微软雅黑" w:eastAsia="微软雅黑" w:hAnsi="微软雅黑" w:cs="微软雅黑" w:hint="eastAsia"/>
          <w:sz w:val="20"/>
          <w:lang w:eastAsia="zh-CN"/>
        </w:rPr>
        <w:t>。这一定价策略在公共机构客户中尤其重要</w:t>
      </w:r>
      <w:r>
        <w:rPr>
          <w:sz w:val="20"/>
        </w:rPr>
        <w:t>——</w:t>
      </w:r>
      <w:r>
        <w:rPr>
          <w:rFonts w:ascii="微软雅黑" w:eastAsia="微软雅黑" w:hAnsi="微软雅黑" w:cs="微软雅黑" w:hint="eastAsia"/>
          <w:sz w:val="20"/>
          <w:lang w:eastAsia="zh-CN"/>
        </w:rPr>
        <w:t>它们的预算是年度既有科目，新增预算的审批链条远长于科目内部调整。</w:t>
      </w:r>
    </w:p>
    <w:p>
      <w:pPr>
        <w:spacing w:before="264" w:after="264"/>
        <w:jc w:val="both"/>
        <w:pBdr>
          <w:left w:val="single" w:sz="24" w:space="0" w:color="1565C0"/>
        </w:pBdr>
        <w:shd w:val="clear" w:color="auto" w:fill="EAF1FB"/>
      </w:pPr>
      <w:r>
        <w:rPr>
          <w:rFonts w:ascii="微软雅黑" w:eastAsia="微软雅黑" w:hAnsi="微软雅黑" w:cs="微软雅黑" w:hint="eastAsia"/>
          <w:sz w:val="20"/>
          <w:lang w:eastAsia="zh-CN"/>
        </w:rPr>
        <w:t>提示：以上价格均为</w:t>
      </w:r>
      <w:r>
        <w:rPr>
          <w:rFonts w:ascii="微软雅黑" w:eastAsia="微软雅黑" w:hAnsi="微软雅黑" w:cs="微软雅黑" w:hint="eastAsia"/>
          <w:b/>
          <w:sz w:val="20"/>
          <w:lang w:eastAsia="zh-CN"/>
        </w:rPr>
        <w:t>基于工程量与替代成本的假设值</w:t>
      </w:r>
      <w:r>
        <w:rPr>
          <w:rFonts w:ascii="微软雅黑" w:eastAsia="微软雅黑" w:hAnsi="微软雅黑" w:cs="微软雅黑" w:hint="eastAsia"/>
          <w:sz w:val="20"/>
          <w:lang w:eastAsia="zh-CN"/>
        </w:rPr>
        <w:t>，尚未经过客户验证。价格验证已列入第</w:t>
      </w:r>
      <w:r>
        <w:rPr>
          <w:sz w:val="20"/>
        </w:rPr>
        <w:t xml:space="preserve"> 9.2 </w:t>
      </w:r>
      <w:r>
        <w:rPr>
          <w:rFonts w:ascii="微软雅黑" w:eastAsia="微软雅黑" w:hAnsi="微软雅黑" w:cs="微软雅黑" w:hint="eastAsia"/>
          <w:sz w:val="20"/>
          <w:lang w:eastAsia="zh-CN"/>
        </w:rPr>
        <w:t>节的关键假设清单。</w:t>
      </w:r>
    </w:p>
    <w:p>
      <w:pPr>
        <w:pStyle w:val="Heading3"/>
        <w:spacing w:line="300" w:lineRule="auto"/>
      </w:pPr>
      <w:r>
        <w:rPr>
          <w:rFonts w:ascii="微软雅黑" w:hAnsi="微软雅黑" w:eastAsia="微软雅黑" w:cs="微软雅黑" w:hint="eastAsia"/>
          <w:b/>
          <w:color w:val="1565C0"/>
          <w:sz w:val="22"/>
          <w:lang w:eastAsia="zh-CN"/>
        </w:rPr>
        <w:t>4.4 成本结构</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成本类别</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构成</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性质</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交付与变动成本</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部署实施人工（约</w:t>
            </w:r>
            <w:r>
              <w:rPr>
                <w:color w:val="212121"/>
                <w:sz w:val="16"/>
              </w:rPr>
              <w:t xml:space="preserve"> </w:t>
            </w:r>
            <w:r>
              <w:rPr>
                <w:color w:val="212121"/>
                <w:sz w:val="16"/>
              </w:rPr>
              <w:t xml:space="preserve"> 4 </w:t>
            </w:r>
            <w:r>
              <w:rPr>
                <w:color w:val="212121"/>
                <w:sz w:val="16"/>
              </w:rPr>
              <w:t xml:space="preserve"> </w:t>
            </w:r>
            <w:r>
              <w:rPr>
                <w:color w:val="212121"/>
                <w:sz w:val="16"/>
              </w:rPr>
              <w:t>人日）、场景适配与模型调参（约</w:t>
            </w:r>
            <w:r>
              <w:rPr>
                <w:color w:val="212121"/>
                <w:sz w:val="16"/>
              </w:rPr>
              <w:t xml:space="preserve"> </w:t>
            </w:r>
            <w:r>
              <w:rPr>
                <w:color w:val="212121"/>
                <w:sz w:val="16"/>
              </w:rPr>
              <w:t xml:space="preserve"> 2 </w:t>
            </w:r>
            <w:r>
              <w:rPr>
                <w:color w:val="212121"/>
                <w:sz w:val="16"/>
              </w:rPr>
              <w:t xml:space="preserve"> </w:t>
            </w:r>
            <w:r>
              <w:rPr>
                <w:color w:val="212121"/>
                <w:sz w:val="16"/>
              </w:rPr>
              <w:t>人日）、云资源、短信通道、差旅</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随场站数变动</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人力费用</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全职实施工程师、兼职实施人员</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阶梯式固定</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软件许可与合规</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检测模型商业授权（或替代方案迁移成本）</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固定</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云基础设施与市场推广</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训练与演示环境、宣传材料、行业会议与走访</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固定</w:t>
            </w:r>
          </w:p>
        </w:tc>
      </w:tr>
    </w:tbl>
    <w:p>
      <w:pPr>
        <w:jc w:val="both"/>
      </w:pPr>
      <w:r>
        <w:rPr>
          <w:rFonts w:ascii="微软雅黑" w:eastAsia="微软雅黑" w:hAnsi="微软雅黑" w:cs="微软雅黑" w:hint="eastAsia"/>
          <w:sz w:val="20"/>
          <w:lang w:eastAsia="zh-CN"/>
        </w:rPr>
        <w:t>成本结构的两个特征值得强调：其一，</w:t>
      </w:r>
      <w:r>
        <w:rPr>
          <w:rFonts w:ascii="微软雅黑" w:eastAsia="微软雅黑" w:hAnsi="微软雅黑" w:cs="微软雅黑" w:hint="eastAsia"/>
          <w:b/>
          <w:sz w:val="20"/>
          <w:lang w:eastAsia="zh-CN"/>
        </w:rPr>
        <w:t>边际成本低</w:t>
      </w:r>
      <w:r>
        <w:rPr>
          <w:sz w:val="20"/>
        </w:rPr>
        <w:t>——</w:t>
      </w:r>
      <w:r>
        <w:rPr>
          <w:rFonts w:ascii="微软雅黑" w:eastAsia="微软雅黑" w:hAnsi="微软雅黑" w:cs="微软雅黑" w:hint="eastAsia"/>
          <w:sz w:val="20"/>
          <w:lang w:eastAsia="zh-CN"/>
        </w:rPr>
        <w:t>因为复用客户硬件，每新增一个场站的增量成本主要在人力而非物料；其二，</w:t>
      </w:r>
      <w:r>
        <w:rPr>
          <w:rFonts w:ascii="微软雅黑" w:eastAsia="微软雅黑" w:hAnsi="微软雅黑" w:cs="微软雅黑" w:hint="eastAsia"/>
          <w:b/>
          <w:sz w:val="20"/>
          <w:lang w:eastAsia="zh-CN"/>
        </w:rPr>
        <w:t>续费的成本极低</w:t>
      </w:r>
      <w:r>
        <w:rPr>
          <w:sz w:val="20"/>
        </w:rPr>
        <w:t>——</w:t>
      </w:r>
      <w:r>
        <w:rPr>
          <w:rFonts w:ascii="微软雅黑" w:eastAsia="微软雅黑" w:hAnsi="微软雅黑" w:cs="微软雅黑" w:hint="eastAsia"/>
          <w:sz w:val="20"/>
          <w:lang w:eastAsia="zh-CN"/>
        </w:rPr>
        <w:t>存量场站第</w:t>
      </w:r>
      <w:r>
        <w:rPr>
          <w:sz w:val="20"/>
        </w:rPr>
        <w:t xml:space="preserve"> 2 </w:t>
      </w:r>
      <w:r>
        <w:rPr>
          <w:rFonts w:ascii="微软雅黑" w:eastAsia="微软雅黑" w:hAnsi="微软雅黑" w:cs="微软雅黑" w:hint="eastAsia"/>
          <w:sz w:val="20"/>
          <w:lang w:eastAsia="zh-CN"/>
        </w:rPr>
        <w:t>年起几乎只产生云资源与短信成本，因此续费业务的毛利显著高于新签业务。</w:t>
      </w:r>
    </w:p>
    <w:p>
      <w:pPr>
        <w:pStyle w:val="Heading3"/>
        <w:spacing w:line="300" w:lineRule="auto"/>
      </w:pPr>
      <w:r>
        <w:rPr>
          <w:rFonts w:ascii="微软雅黑" w:hAnsi="微软雅黑" w:eastAsia="微软雅黑" w:cs="微软雅黑" w:hint="eastAsia"/>
          <w:b/>
          <w:color w:val="1565C0"/>
          <w:sz w:val="22"/>
          <w:lang w:eastAsia="zh-CN"/>
        </w:rPr>
        <w:t>4.5 单位经济模型（单个 80 车位场站）</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金额</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备注</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首年合同额</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46,000 </w:t>
            </w:r>
            <w:r>
              <w:rPr>
                <w:color w:val="212121"/>
                <w:sz w:val="16"/>
              </w:rPr>
              <w:t xml:space="preserve"> </w:t>
            </w:r>
            <w:r>
              <w:rPr>
                <w:color w:val="212121"/>
                <w:sz w:val="16"/>
              </w:rPr>
              <w:t>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部署费</w:t>
            </w:r>
            <w:r>
              <w:rPr>
                <w:color w:val="212121"/>
                <w:sz w:val="16"/>
              </w:rPr>
              <w:t xml:space="preserve"> </w:t>
            </w:r>
            <w:r>
              <w:rPr>
                <w:color w:val="212121"/>
                <w:sz w:val="16"/>
              </w:rPr>
              <w:t xml:space="preserve"> 30,000 + </w:t>
            </w:r>
            <w:r>
              <w:rPr>
                <w:color w:val="212121"/>
                <w:sz w:val="16"/>
              </w:rPr>
              <w:t xml:space="preserve"> </w:t>
            </w:r>
            <w:r>
              <w:rPr>
                <w:color w:val="212121"/>
                <w:sz w:val="16"/>
              </w:rPr>
              <w:t>点位年费</w:t>
            </w:r>
            <w:r>
              <w:rPr>
                <w:color w:val="212121"/>
                <w:sz w:val="16"/>
              </w:rPr>
              <w:t xml:space="preserve"> </w:t>
            </w:r>
            <w:r>
              <w:rPr>
                <w:color w:val="212121"/>
                <w:sz w:val="16"/>
              </w:rPr>
              <w:t xml:space="preserve"> 80 × 200 = 16,000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首年交付成本</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13,700 </w:t>
            </w:r>
            <w:r>
              <w:rPr>
                <w:color w:val="212121"/>
                <w:sz w:val="16"/>
              </w:rPr>
              <w:t xml:space="preserve"> </w:t>
            </w:r>
            <w:r>
              <w:rPr>
                <w:color w:val="212121"/>
                <w:sz w:val="16"/>
              </w:rPr>
              <w:t>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实施</w:t>
            </w:r>
            <w:r>
              <w:rPr>
                <w:color w:val="212121"/>
                <w:sz w:val="16"/>
              </w:rPr>
              <w:t xml:space="preserve"> </w:t>
            </w:r>
            <w:r>
              <w:rPr>
                <w:color w:val="212121"/>
                <w:sz w:val="16"/>
              </w:rPr>
              <w:t xml:space="preserve"> 6,000 + </w:t>
            </w:r>
            <w:r>
              <w:rPr>
                <w:color w:val="212121"/>
                <w:sz w:val="16"/>
              </w:rPr>
              <w:t xml:space="preserve"> </w:t>
            </w:r>
            <w:r>
              <w:rPr>
                <w:color w:val="212121"/>
                <w:sz w:val="16"/>
              </w:rPr>
              <w:t>场景适配</w:t>
            </w:r>
            <w:r>
              <w:rPr>
                <w:color w:val="212121"/>
                <w:sz w:val="16"/>
              </w:rPr>
              <w:t xml:space="preserve"> </w:t>
            </w:r>
            <w:r>
              <w:rPr>
                <w:color w:val="212121"/>
                <w:sz w:val="16"/>
              </w:rPr>
              <w:t xml:space="preserve"> 4,000 + </w:t>
            </w:r>
            <w:r>
              <w:rPr>
                <w:color w:val="212121"/>
                <w:sz w:val="16"/>
              </w:rPr>
              <w:t xml:space="preserve"> </w:t>
            </w:r>
            <w:r>
              <w:rPr>
                <w:color w:val="212121"/>
                <w:sz w:val="16"/>
              </w:rPr>
              <w:t>云</w:t>
            </w:r>
            <w:r>
              <w:rPr>
                <w:color w:val="212121"/>
                <w:sz w:val="16"/>
              </w:rPr>
              <w:t xml:space="preserve"> </w:t>
            </w:r>
            <w:r>
              <w:rPr>
                <w:color w:val="212121"/>
                <w:sz w:val="16"/>
              </w:rPr>
              <w:t xml:space="preserve"> 1,200 + </w:t>
            </w:r>
            <w:r>
              <w:rPr>
                <w:color w:val="212121"/>
                <w:sz w:val="16"/>
              </w:rPr>
              <w:t xml:space="preserve"> </w:t>
            </w:r>
            <w:r>
              <w:rPr>
                <w:color w:val="212121"/>
                <w:sz w:val="16"/>
              </w:rPr>
              <w:t>短信</w:t>
            </w:r>
            <w:r>
              <w:rPr>
                <w:color w:val="212121"/>
                <w:sz w:val="16"/>
              </w:rPr>
              <w:t xml:space="preserve"> </w:t>
            </w:r>
            <w:r>
              <w:rPr>
                <w:color w:val="212121"/>
                <w:sz w:val="16"/>
              </w:rPr>
              <w:t xml:space="preserve"> 500 + </w:t>
            </w:r>
            <w:r>
              <w:rPr>
                <w:color w:val="212121"/>
                <w:sz w:val="16"/>
              </w:rPr>
              <w:t xml:space="preserve"> </w:t>
            </w:r>
            <w:r>
              <w:rPr>
                <w:color w:val="212121"/>
                <w:sz w:val="16"/>
              </w:rPr>
              <w:t>差旅</w:t>
            </w:r>
            <w:r>
              <w:rPr>
                <w:color w:val="212121"/>
                <w:sz w:val="16"/>
              </w:rPr>
              <w:t xml:space="preserve"> </w:t>
            </w:r>
            <w:r>
              <w:rPr>
                <w:color w:val="212121"/>
                <w:sz w:val="16"/>
              </w:rPr>
              <w:t xml:space="preserve"> 2,000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首年毛利</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32,300 </w:t>
            </w:r>
            <w:r>
              <w:rPr>
                <w:color w:val="212121"/>
                <w:sz w:val="16"/>
              </w:rPr>
              <w:t xml:space="preserve"> </w:t>
            </w:r>
            <w:r>
              <w:rPr>
                <w:color w:val="212121"/>
                <w:sz w:val="16"/>
              </w:rPr>
              <w:t>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毛利率约</w:t>
            </w:r>
            <w:r>
              <w:rPr>
                <w:color w:val="212121"/>
                <w:sz w:val="16"/>
              </w:rPr>
              <w:t xml:space="preserve"> </w:t>
            </w:r>
            <w:r>
              <w:rPr>
                <w:color w:val="212121"/>
                <w:sz w:val="16"/>
              </w:rPr>
              <w:t xml:space="preserve"> 70%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2 </w:t>
            </w:r>
            <w:r>
              <w:rPr>
                <w:color w:val="212121"/>
                <w:sz w:val="16"/>
              </w:rPr>
              <w:t xml:space="preserve"> </w:t>
            </w:r>
            <w:r>
              <w:rPr>
                <w:color w:val="212121"/>
                <w:sz w:val="16"/>
              </w:rPr>
              <w:t>年起年收入</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16,000 </w:t>
            </w:r>
            <w:r>
              <w:rPr>
                <w:color w:val="212121"/>
                <w:sz w:val="16"/>
              </w:rPr>
              <w:t xml:space="preserve"> </w:t>
            </w:r>
            <w:r>
              <w:rPr>
                <w:color w:val="212121"/>
                <w:sz w:val="16"/>
              </w:rPr>
              <w:t>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仅点位年费</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2 </w:t>
            </w:r>
            <w:r>
              <w:rPr>
                <w:color w:val="212121"/>
                <w:sz w:val="16"/>
              </w:rPr>
              <w:t xml:space="preserve"> </w:t>
            </w:r>
            <w:r>
              <w:rPr>
                <w:color w:val="212121"/>
                <w:sz w:val="16"/>
              </w:rPr>
              <w:t>年起年成本</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1,700 </w:t>
            </w:r>
            <w:r>
              <w:rPr>
                <w:color w:val="212121"/>
                <w:sz w:val="16"/>
              </w:rPr>
              <w:t xml:space="preserve"> </w:t>
            </w:r>
            <w:r>
              <w:rPr>
                <w:color w:val="212121"/>
                <w:sz w:val="16"/>
              </w:rPr>
              <w:t>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云</w:t>
            </w:r>
            <w:r>
              <w:rPr>
                <w:color w:val="212121"/>
                <w:sz w:val="16"/>
              </w:rPr>
              <w:t xml:space="preserve"> </w:t>
            </w:r>
            <w:r>
              <w:rPr>
                <w:color w:val="212121"/>
                <w:sz w:val="16"/>
              </w:rPr>
              <w:t xml:space="preserve"> 1,200 + </w:t>
            </w:r>
            <w:r>
              <w:rPr>
                <w:color w:val="212121"/>
                <w:sz w:val="16"/>
              </w:rPr>
              <w:t xml:space="preserve"> </w:t>
            </w:r>
            <w:r>
              <w:rPr>
                <w:color w:val="212121"/>
                <w:sz w:val="16"/>
              </w:rPr>
              <w:t>短信</w:t>
            </w:r>
            <w:r>
              <w:rPr>
                <w:color w:val="212121"/>
                <w:sz w:val="16"/>
              </w:rPr>
              <w:t xml:space="preserve"> </w:t>
            </w:r>
            <w:r>
              <w:rPr>
                <w:color w:val="212121"/>
                <w:sz w:val="16"/>
              </w:rPr>
              <w:t xml:space="preserve"> 500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续费年毛利</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14,300 </w:t>
            </w:r>
            <w:r>
              <w:rPr>
                <w:color w:val="212121"/>
                <w:sz w:val="16"/>
              </w:rPr>
              <w:t xml:space="preserve"> </w:t>
            </w:r>
            <w:r>
              <w:rPr>
                <w:color w:val="212121"/>
                <w:sz w:val="16"/>
              </w:rPr>
              <w:t>元</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毛利率约</w:t>
            </w:r>
            <w:r>
              <w:rPr>
                <w:color w:val="212121"/>
                <w:sz w:val="16"/>
              </w:rPr>
              <w:t xml:space="preserve"> </w:t>
            </w:r>
            <w:r>
              <w:rPr>
                <w:color w:val="212121"/>
                <w:sz w:val="16"/>
              </w:rPr>
              <w:t xml:space="preserve"> 89%</w:t>
            </w:r>
          </w:p>
        </w:tc>
      </w:tr>
    </w:tbl>
    <w:p>
      <w:pPr>
        <w:jc w:val="both"/>
      </w:pPr>
      <w:r>
        <w:rPr>
          <w:rFonts w:ascii="微软雅黑" w:eastAsia="微软雅黑" w:hAnsi="微软雅黑" w:cs="微软雅黑" w:hint="eastAsia"/>
          <w:sz w:val="20"/>
          <w:lang w:eastAsia="zh-CN"/>
        </w:rPr>
        <w:t>以一个三年合作周期计（首年</w:t>
      </w:r>
      <w:r>
        <w:rPr>
          <w:sz w:val="20"/>
        </w:rPr>
        <w:t xml:space="preserve"> + </w:t>
      </w:r>
      <w:r>
        <w:rPr>
          <w:rFonts w:ascii="微软雅黑" w:eastAsia="微软雅黑" w:hAnsi="微软雅黑" w:cs="微软雅黑" w:hint="eastAsia"/>
          <w:sz w:val="20"/>
          <w:lang w:eastAsia="zh-CN"/>
        </w:rPr>
        <w:t>两年续费），单一客户的价值约</w:t>
      </w:r>
      <w:r>
        <w:rPr>
          <w:sz w:val="20"/>
        </w:rPr>
        <w:t xml:space="preserve"> 7.8 </w:t>
      </w:r>
      <w:r>
        <w:rPr>
          <w:rFonts w:ascii="微软雅黑" w:eastAsia="微软雅黑" w:hAnsi="微软雅黑" w:cs="微软雅黑" w:hint="eastAsia"/>
          <w:sz w:val="20"/>
          <w:lang w:eastAsia="zh-CN"/>
        </w:rPr>
        <w:t>万元，对应毛利约</w:t>
      </w:r>
      <w:r>
        <w:rPr>
          <w:sz w:val="20"/>
        </w:rPr>
        <w:t xml:space="preserve"> 6.1 </w:t>
      </w:r>
      <w:r>
        <w:rPr>
          <w:rFonts w:ascii="微软雅黑" w:eastAsia="微软雅黑" w:hAnsi="微软雅黑" w:cs="微软雅黑" w:hint="eastAsia"/>
          <w:sz w:val="20"/>
          <w:lang w:eastAsia="zh-CN"/>
        </w:rPr>
        <w:t>万元；若合作延续到第五年，价值可到</w:t>
      </w:r>
      <w:r>
        <w:rPr>
          <w:sz w:val="20"/>
        </w:rPr>
        <w:t xml:space="preserve"> 11 </w:t>
      </w:r>
      <w:r>
        <w:rPr>
          <w:rFonts w:ascii="微软雅黑" w:eastAsia="微软雅黑" w:hAnsi="微软雅黑" w:cs="微软雅黑" w:hint="eastAsia"/>
          <w:sz w:val="20"/>
          <w:lang w:eastAsia="zh-CN"/>
        </w:rPr>
        <w:t>万元。这解释了为什么</w:t>
      </w:r>
      <w:r>
        <w:rPr>
          <w:sz w:val="20"/>
        </w:rPr>
        <w:t>"</w:t>
      </w:r>
      <w:r>
        <w:rPr>
          <w:rFonts w:ascii="微软雅黑" w:eastAsia="微软雅黑" w:hAnsi="微软雅黑" w:cs="微软雅黑" w:hint="eastAsia"/>
          <w:sz w:val="20"/>
          <w:lang w:eastAsia="zh-CN"/>
        </w:rPr>
        <w:t>续约率</w:t>
      </w:r>
      <w:r>
        <w:rPr>
          <w:sz w:val="20"/>
        </w:rPr>
        <w:t>"</w:t>
      </w:r>
      <w:r>
        <w:rPr>
          <w:rFonts w:ascii="微软雅黑" w:eastAsia="微软雅黑" w:hAnsi="微软雅黑" w:cs="微软雅黑" w:hint="eastAsia"/>
          <w:sz w:val="20"/>
          <w:lang w:eastAsia="zh-CN"/>
        </w:rPr>
        <w:t>是本项目最重要的经营指标。</w:t>
      </w:r>
    </w:p>
    <w:p>
      <w:bookmarkStart w:id="16" w:name="_Toc_section_5"/>
      <w:bookmarkStart w:id="4" w:name="section-5"/>
      <w:pPr>
        <w:pStyle w:val="Heading2"/>
        <w:spacing w:line="300" w:lineRule="auto"/>
      </w:pPr>
      <w:bookmarkEnd w:id="4"/>
      <w:r>
        <w:rPr>
          <w:rFonts w:ascii="微软雅黑" w:hAnsi="微软雅黑" w:eastAsia="微软雅黑" w:cs="微软雅黑" w:hint="eastAsia"/>
          <w:b/>
          <w:color w:val="1A237E"/>
          <w:sz w:val="26"/>
          <w:lang w:eastAsia="zh-CN"/>
        </w:rPr>
        <w:t>五、竞争分析</w:t>
      </w:r>
      <w:bookmarkEnd w:id="16"/>
    </w:p>
    <w:p>
      <w:pPr>
        <w:jc w:val="both"/>
      </w:pPr>
      <w:r>
        <w:rPr>
          <w:rFonts w:ascii="微软雅黑" w:eastAsia="微软雅黑" w:hAnsi="微软雅黑" w:cs="微软雅黑" w:hint="eastAsia"/>
          <w:sz w:val="20"/>
          <w:lang w:eastAsia="zh-CN"/>
        </w:rPr>
        <w:t>本章梳理现有方案的格局与各自短板，说明本项目的差异化位置与壁垒强度。</w:t>
      </w:r>
    </w:p>
    <w:p>
      <w:pPr>
        <w:pStyle w:val="Heading3"/>
        <w:spacing w:line="300" w:lineRule="auto"/>
      </w:pPr>
      <w:r>
        <w:rPr>
          <w:rFonts w:ascii="微软雅黑" w:hAnsi="微软雅黑" w:eastAsia="微软雅黑" w:cs="微软雅黑" w:hint="eastAsia"/>
          <w:b/>
          <w:color w:val="1565C0"/>
          <w:sz w:val="22"/>
          <w:lang w:eastAsia="zh-CN"/>
        </w:rPr>
        <w:t>5.1 现有方案格局</w:t>
      </w:r>
    </w:p>
    <w:p>
      <w:pPr>
        <w:jc w:val="both"/>
      </w:pPr>
      <w:r>
        <w:rPr>
          <w:rFonts w:ascii="微软雅黑" w:eastAsia="微软雅黑" w:hAnsi="微软雅黑" w:cs="微软雅黑" w:hint="eastAsia"/>
          <w:sz w:val="20"/>
          <w:lang w:eastAsia="zh-CN"/>
        </w:rPr>
        <w:t>市场上处理</w:t>
      </w:r>
      <w:r>
        <w:rPr>
          <w:sz w:val="20"/>
        </w:rPr>
        <w:t>"</w:t>
      </w:r>
      <w:r>
        <w:rPr>
          <w:rFonts w:ascii="微软雅黑" w:eastAsia="微软雅黑" w:hAnsi="微软雅黑" w:cs="微软雅黑" w:hint="eastAsia"/>
          <w:sz w:val="20"/>
          <w:lang w:eastAsia="zh-CN"/>
        </w:rPr>
        <w:t>充电车位被占用</w:t>
      </w:r>
      <w:r>
        <w:rPr>
          <w:sz w:val="20"/>
        </w:rPr>
        <w:t>"</w:t>
      </w:r>
      <w:r>
        <w:rPr>
          <w:rFonts w:ascii="微软雅黑" w:eastAsia="微软雅黑" w:hAnsi="微软雅黑" w:cs="微软雅黑" w:hint="eastAsia"/>
          <w:sz w:val="20"/>
          <w:lang w:eastAsia="zh-CN"/>
        </w:rPr>
        <w:t>问题的方案分三类，各有明确短板：</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方案类型</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已有能力</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关键短板</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充电运营类应用</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设备监测、找桩导航、计费结算</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侧重充电服务本身，基本不介入车位占用监管，无法识别并追责占位车辆</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以车牌识别为核心的智慧停车系统</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车牌识别、道闸控制、停车计费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拿不到充电状态数据，因而无法区分</w:t>
            </w:r>
            <w:r>
              <w:rPr>
                <w:color w:val="212121"/>
                <w:sz w:val="16"/>
              </w:rPr>
              <w:t xml:space="preserve"> </w:t>
            </w:r>
            <w:r>
              <w:rPr>
                <w:color w:val="212121"/>
                <w:sz w:val="16"/>
              </w:rPr>
              <w:t>"</w:t>
            </w:r>
            <w:r>
              <w:rPr>
                <w:color w:val="212121"/>
                <w:sz w:val="16"/>
              </w:rPr>
              <w:t xml:space="preserve"> </w:t>
            </w:r>
            <w:r>
              <w:rPr>
                <w:color w:val="212121"/>
                <w:sz w:val="16"/>
              </w:rPr>
              <w:t>正在充电</w:t>
            </w:r>
            <w:r>
              <w:rPr>
                <w:color w:val="212121"/>
                <w:sz w:val="16"/>
              </w:rPr>
              <w:t xml:space="preserve"> </w:t>
            </w:r>
            <w:r>
              <w:rPr>
                <w:color w:val="212121"/>
                <w:sz w:val="16"/>
              </w:rPr>
              <w:t>"</w:t>
            </w:r>
            <w:r>
              <w:rPr>
                <w:color w:val="212121"/>
                <w:sz w:val="16"/>
              </w:rPr>
              <w:t xml:space="preserve"> </w:t>
            </w:r>
            <w:r>
              <w:rPr>
                <w:color w:val="212121"/>
                <w:sz w:val="16"/>
              </w:rPr>
              <w:t>与</w:t>
            </w:r>
            <w:r>
              <w:rPr>
                <w:color w:val="212121"/>
                <w:sz w:val="16"/>
              </w:rPr>
              <w:t xml:space="preserve"> </w:t>
            </w:r>
            <w:r>
              <w:rPr>
                <w:color w:val="212121"/>
                <w:sz w:val="16"/>
              </w:rPr>
              <w:t>"</w:t>
            </w:r>
            <w:r>
              <w:rPr>
                <w:color w:val="212121"/>
                <w:sz w:val="16"/>
              </w:rPr>
              <w:t xml:space="preserve"> </w:t>
            </w:r>
            <w:r>
              <w:rPr>
                <w:color w:val="212121"/>
                <w:sz w:val="16"/>
              </w:rPr>
              <w:t>充满未移车</w:t>
            </w:r>
            <w:r>
              <w:rPr>
                <w:color w:val="212121"/>
                <w:sz w:val="16"/>
              </w:rPr>
              <w:t xml:space="preserve"> </w:t>
            </w:r>
            <w:r>
              <w:rPr>
                <w:color w:val="212121"/>
                <w:sz w:val="16"/>
              </w:rPr>
              <w:t>"</w:t>
            </w:r>
            <w:r>
              <w:rPr>
                <w:color w:val="212121"/>
                <w:sz w:val="16"/>
              </w:rPr>
              <w:t xml:space="preserve"> </w:t>
            </w:r>
            <w:r>
              <w:rPr>
                <w:color w:val="212121"/>
                <w:sz w:val="16"/>
              </w:rPr>
              <w:t>，容易误判漏判</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人工巡查</w:t>
            </w:r>
            <w:r>
              <w:rPr>
                <w:color w:val="212121"/>
                <w:sz w:val="16"/>
              </w:rPr>
              <w:t xml:space="preserve"> </w:t>
            </w:r>
            <w:r>
              <w:rPr>
                <w:color w:val="212121"/>
                <w:sz w:val="16"/>
              </w:rPr>
              <w:t xml:space="preserve"> + </w:t>
            </w:r>
            <w:r>
              <w:rPr>
                <w:color w:val="212121"/>
                <w:sz w:val="16"/>
              </w:rPr>
              <w:t xml:space="preserve"> </w:t>
            </w:r>
            <w:r>
              <w:rPr>
                <w:color w:val="212121"/>
                <w:sz w:val="16"/>
              </w:rPr>
              <w:t>视频监控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可处理明显占位，可人工干预</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成本高、时效差、缺少结构化记录，难以支撑统计与考核</w:t>
            </w:r>
          </w:p>
        </w:tc>
      </w:tr>
    </w:tbl>
    <w:p>
      <w:pPr>
        <w:jc w:val="both"/>
      </w:pPr>
      <w:r>
        <w:rPr>
          <w:rFonts w:ascii="微软雅黑" w:eastAsia="微软雅黑" w:hAnsi="微软雅黑" w:cs="微软雅黑" w:hint="eastAsia"/>
          <w:sz w:val="20"/>
          <w:lang w:eastAsia="zh-CN"/>
        </w:rPr>
        <w:t>需要说明的是，充电运营领域的头部平台（如特来电、星星充电、云快充等）在设备规模与用户覆盖上远非本项目可比，其优势集中在充电交易与网络运营。本项目的判断是：</w:t>
      </w:r>
      <w:r>
        <w:rPr>
          <w:rFonts w:ascii="微软雅黑" w:eastAsia="微软雅黑" w:hAnsi="微软雅黑" w:cs="微软雅黑" w:hint="eastAsia"/>
          <w:b/>
          <w:sz w:val="20"/>
          <w:lang w:eastAsia="zh-CN"/>
        </w:rPr>
        <w:t>充电车位占用监管不是充电运营平台的主战场</w:t>
      </w:r>
      <w:r>
        <w:rPr>
          <w:rFonts w:ascii="微软雅黑" w:eastAsia="微软雅黑" w:hAnsi="微软雅黑" w:cs="微软雅黑" w:hint="eastAsia"/>
          <w:sz w:val="20"/>
          <w:lang w:eastAsia="zh-CN"/>
        </w:rPr>
        <w:t>，其业务重心在电量与交易，而不是车位秩序。这一判断是竞品分析的起点，也是本项目选择</w:t>
      </w:r>
      <w:r>
        <w:rPr>
          <w:sz w:val="20"/>
        </w:rPr>
        <w:t>"</w:t>
      </w:r>
      <w:r>
        <w:rPr>
          <w:rFonts w:ascii="微软雅黑" w:eastAsia="微软雅黑" w:hAnsi="微软雅黑" w:cs="微软雅黑" w:hint="eastAsia"/>
          <w:sz w:val="20"/>
          <w:lang w:eastAsia="zh-CN"/>
        </w:rPr>
        <w:t>做监管层、不做交易层</w:t>
      </w:r>
      <w:r>
        <w:rPr>
          <w:sz w:val="20"/>
        </w:rPr>
        <w:t>"</w:t>
      </w:r>
      <w:r>
        <w:rPr>
          <w:rFonts w:ascii="微软雅黑" w:eastAsia="微软雅黑" w:hAnsi="微软雅黑" w:cs="微软雅黑" w:hint="eastAsia"/>
          <w:sz w:val="20"/>
          <w:lang w:eastAsia="zh-CN"/>
        </w:rPr>
        <w:t>的原因</w:t>
      </w:r>
      <w:r>
        <w:rPr>
          <w:sz w:val="20"/>
        </w:rPr>
        <w:t>——</w:t>
      </w:r>
      <w:r>
        <w:rPr>
          <w:rFonts w:ascii="微软雅黑" w:eastAsia="微软雅黑" w:hAnsi="微软雅黑" w:cs="微软雅黑" w:hint="eastAsia"/>
          <w:sz w:val="20"/>
          <w:lang w:eastAsia="zh-CN"/>
        </w:rPr>
        <w:t>与运营平台是互补关系而非替代关系。</w:t>
      </w:r>
    </w:p>
    <w:p>
      <w:pPr>
        <w:pStyle w:val="Heading3"/>
        <w:spacing w:line="300" w:lineRule="auto"/>
      </w:pPr>
      <w:r>
        <w:rPr>
          <w:rFonts w:ascii="微软雅黑" w:hAnsi="微软雅黑" w:eastAsia="微软雅黑" w:cs="微软雅黑" w:hint="eastAsia"/>
          <w:b/>
          <w:color w:val="1565C0"/>
          <w:sz w:val="22"/>
          <w:lang w:eastAsia="zh-CN"/>
        </w:rPr>
        <w:t>5.2 差异化定位</w:t>
      </w:r>
    </w:p>
    <w:p>
      <w:pPr>
        <w:jc w:val="both"/>
      </w:pPr>
      <w:r>
        <w:rPr>
          <w:rFonts w:ascii="微软雅黑" w:eastAsia="微软雅黑" w:hAnsi="微软雅黑" w:cs="微软雅黑" w:hint="eastAsia"/>
          <w:sz w:val="20"/>
          <w:lang w:eastAsia="zh-CN"/>
        </w:rPr>
        <w:t>本项目的差异点可以压缩成一句：</w:t>
      </w:r>
      <w:r>
        <w:rPr>
          <w:rFonts w:ascii="微软雅黑" w:eastAsia="微软雅黑" w:hAnsi="微软雅黑" w:cs="微软雅黑" w:hint="eastAsia"/>
          <w:b/>
          <w:sz w:val="20"/>
          <w:lang w:eastAsia="zh-CN"/>
        </w:rPr>
        <w:t>判定违规所必需的"充电状态"这一维度，只有与视觉识别联合才可获得。</w:t>
      </w:r>
    </w:p>
    <w:p>
      <w:pPr>
        <w:jc w:val="both"/>
      </w:pPr>
      <w:r>
        <w:rPr>
          <w:rFonts w:ascii="微软雅黑" w:eastAsia="微软雅黑" w:hAnsi="微软雅黑" w:cs="微软雅黑" w:hint="eastAsia"/>
          <w:sz w:val="20"/>
          <w:lang w:eastAsia="zh-CN"/>
        </w:rPr>
        <w:t>由此形成的三项具体差异：</w:t>
      </w:r>
    </w:p>
    <w:p>
      <w:pPr>
        <w:pStyle w:val="ListNumber"/>
        <w:numPr>
          <w:ilvl w:val="0"/>
          <w:numId w:val="14"/>
        </w:numPr>
        <w:spacing w:after="60"/>
        <w:jc w:val="both"/>
      </w:pPr>
      <w:r>
        <w:rPr>
          <w:rFonts w:ascii="微软雅黑" w:eastAsia="微软雅黑" w:hAnsi="微软雅黑" w:cs="微软雅黑" w:hint="eastAsia"/>
          <w:b/>
          <w:sz w:val="20"/>
          <w:lang w:eastAsia="zh-CN"/>
        </w:rPr>
        <w:t>能识别"充满未移车"</w:t>
      </w:r>
      <w:r>
        <w:rPr>
          <w:rFonts w:ascii="微软雅黑" w:eastAsia="微软雅黑" w:hAnsi="微软雅黑" w:cs="微软雅黑" w:hint="eastAsia"/>
          <w:sz w:val="20"/>
          <w:lang w:eastAsia="zh-CN"/>
        </w:rPr>
        <w:t>。这是三类现有方案共同的盲区：运营平台知道桩在充电但不知道车位被谁占；智慧停车知道车牌但不知道桩的状态；人工巡查则既贵又慢。而这一状态恰恰是车主投诉最集中的场景之一。</w:t>
      </w:r>
    </w:p>
    <w:p>
      <w:pPr>
        <w:pStyle w:val="ListNumber"/>
        <w:numPr>
          <w:ilvl w:val="0"/>
          <w:numId w:val="14"/>
        </w:numPr>
        <w:spacing w:after="60"/>
        <w:jc w:val="both"/>
      </w:pPr>
      <w:r>
        <w:rPr>
          <w:rFonts w:ascii="微软雅黑" w:eastAsia="微软雅黑" w:hAnsi="微软雅黑" w:cs="微软雅黑" w:hint="eastAsia"/>
          <w:b/>
          <w:sz w:val="20"/>
          <w:lang w:eastAsia="zh-CN"/>
        </w:rPr>
        <w:t>以提醒为主、处罚为辅</w:t>
      </w:r>
      <w:r>
        <w:rPr>
          <w:rFonts w:ascii="微软雅黑" w:eastAsia="微软雅黑" w:hAnsi="微软雅黑" w:cs="微软雅黑" w:hint="eastAsia"/>
          <w:sz w:val="20"/>
          <w:lang w:eastAsia="zh-CN"/>
        </w:rPr>
        <w:t>。车主调查显示，</w:t>
      </w:r>
      <w:r>
        <w:rPr>
          <w:sz w:val="20"/>
        </w:rPr>
        <w:t xml:space="preserve">45% </w:t>
      </w:r>
      <w:r>
        <w:rPr>
          <w:rFonts w:ascii="微软雅黑" w:eastAsia="微软雅黑" w:hAnsi="微软雅黑" w:cs="微软雅黑" w:hint="eastAsia"/>
          <w:sz w:val="20"/>
          <w:lang w:eastAsia="zh-CN"/>
        </w:rPr>
        <w:t>的人对占位收费</w:t>
      </w:r>
      <w:r>
        <w:rPr>
          <w:sz w:val="20"/>
        </w:rPr>
        <w:t>"</w:t>
      </w:r>
      <w:r>
        <w:rPr>
          <w:rFonts w:ascii="微软雅黑" w:eastAsia="微软雅黑" w:hAnsi="微软雅黑" w:cs="微软雅黑" w:hint="eastAsia"/>
          <w:sz w:val="20"/>
          <w:lang w:eastAsia="zh-CN"/>
        </w:rPr>
        <w:t>有条件支持</w:t>
      </w:r>
      <w:r>
        <w:rPr>
          <w:sz w:val="20"/>
        </w:rPr>
        <w:t>"</w:t>
      </w:r>
      <w:r>
        <w:rPr>
          <w:rFonts w:ascii="微软雅黑" w:eastAsia="微软雅黑" w:hAnsi="微软雅黑" w:cs="微软雅黑" w:hint="eastAsia"/>
          <w:sz w:val="20"/>
          <w:lang w:eastAsia="zh-CN"/>
        </w:rPr>
        <w:t>，前提是免费缓冲期、标准透明、有挪车提醒。产品默认先发提醒短信，把</w:t>
      </w:r>
      <w:r>
        <w:rPr>
          <w:sz w:val="20"/>
        </w:rPr>
        <w:t>"</w:t>
      </w:r>
      <w:r>
        <w:rPr>
          <w:rFonts w:ascii="微软雅黑" w:eastAsia="微软雅黑" w:hAnsi="微软雅黑" w:cs="微软雅黑" w:hint="eastAsia"/>
          <w:sz w:val="20"/>
          <w:lang w:eastAsia="zh-CN"/>
        </w:rPr>
        <w:t>及时通知</w:t>
      </w:r>
      <w:r>
        <w:rPr>
          <w:sz w:val="20"/>
        </w:rPr>
        <w:t>"</w:t>
      </w:r>
      <w:r>
        <w:rPr>
          <w:rFonts w:ascii="微软雅黑" w:eastAsia="微软雅黑" w:hAnsi="微软雅黑" w:cs="微软雅黑" w:hint="eastAsia"/>
          <w:sz w:val="20"/>
          <w:lang w:eastAsia="zh-CN"/>
        </w:rPr>
        <w:t>作为核心动作，这既降低了推行阻力，也让管理方在争议中占住</w:t>
      </w:r>
      <w:r>
        <w:rPr>
          <w:sz w:val="20"/>
        </w:rPr>
        <w:t>"</w:t>
      </w:r>
      <w:r>
        <w:rPr>
          <w:rFonts w:ascii="微软雅黑" w:eastAsia="微软雅黑" w:hAnsi="微软雅黑" w:cs="微软雅黑" w:hint="eastAsia"/>
          <w:sz w:val="20"/>
          <w:lang w:eastAsia="zh-CN"/>
        </w:rPr>
        <w:t>已尽提醒义务</w:t>
      </w:r>
      <w:r>
        <w:rPr>
          <w:sz w:val="20"/>
        </w:rPr>
        <w:t>"</w:t>
      </w:r>
      <w:r>
        <w:rPr>
          <w:rFonts w:ascii="微软雅黑" w:eastAsia="微软雅黑" w:hAnsi="微软雅黑" w:cs="微软雅黑" w:hint="eastAsia"/>
          <w:sz w:val="20"/>
          <w:lang w:eastAsia="zh-CN"/>
        </w:rPr>
        <w:t>的位置。</w:t>
      </w:r>
    </w:p>
    <w:p>
      <w:pPr>
        <w:pStyle w:val="ListNumber"/>
        <w:numPr>
          <w:ilvl w:val="0"/>
          <w:numId w:val="14"/>
        </w:numPr>
        <w:spacing w:after="60"/>
        <w:jc w:val="both"/>
      </w:pPr>
      <w:r>
        <w:rPr>
          <w:rFonts w:ascii="微软雅黑" w:eastAsia="微软雅黑" w:hAnsi="微软雅黑" w:cs="微软雅黑" w:hint="eastAsia"/>
          <w:b/>
          <w:sz w:val="20"/>
          <w:lang w:eastAsia="zh-CN"/>
        </w:rPr>
        <w:t>为监管留痕，而非只为计费</w:t>
      </w:r>
      <w:r>
        <w:rPr>
          <w:rFonts w:ascii="微软雅黑" w:eastAsia="微软雅黑" w:hAnsi="微软雅黑" w:cs="微软雅黑" w:hint="eastAsia"/>
          <w:sz w:val="20"/>
          <w:lang w:eastAsia="zh-CN"/>
        </w:rPr>
        <w:t>。监管平台的数据上报、日常巡检记录、安全监控留痕，都是</w:t>
      </w:r>
      <w:r>
        <w:rPr>
          <w:sz w:val="20"/>
        </w:rPr>
        <w:t xml:space="preserve"> JS/T 302—2026 </w:t>
      </w:r>
      <w:r>
        <w:rPr>
          <w:rFonts w:ascii="微软雅黑" w:eastAsia="微软雅黑" w:hAnsi="微软雅黑" w:cs="微软雅黑" w:hint="eastAsia"/>
          <w:sz w:val="20"/>
          <w:lang w:eastAsia="zh-CN"/>
        </w:rPr>
        <w:t>明确提出的运行管理要求。本项目按</w:t>
      </w:r>
      <w:r>
        <w:rPr>
          <w:sz w:val="20"/>
        </w:rPr>
        <w:t>"</w:t>
      </w:r>
      <w:r>
        <w:rPr>
          <w:rFonts w:ascii="微软雅黑" w:eastAsia="微软雅黑" w:hAnsi="微软雅黑" w:cs="微软雅黑" w:hint="eastAsia"/>
          <w:sz w:val="20"/>
          <w:lang w:eastAsia="zh-CN"/>
        </w:rPr>
        <w:t>可核查记录</w:t>
      </w:r>
      <w:r>
        <w:rPr>
          <w:sz w:val="20"/>
        </w:rPr>
        <w:t>"</w:t>
      </w:r>
      <w:r>
        <w:rPr>
          <w:rFonts w:ascii="微软雅黑" w:eastAsia="微软雅黑" w:hAnsi="微软雅黑" w:cs="微软雅黑" w:hint="eastAsia"/>
          <w:sz w:val="20"/>
          <w:lang w:eastAsia="zh-CN"/>
        </w:rPr>
        <w:t>设计数据模型，而不是按</w:t>
      </w:r>
      <w:r>
        <w:rPr>
          <w:sz w:val="20"/>
        </w:rPr>
        <w:t>"</w:t>
      </w:r>
      <w:r>
        <w:rPr>
          <w:rFonts w:ascii="微软雅黑" w:eastAsia="微软雅黑" w:hAnsi="微软雅黑" w:cs="微软雅黑" w:hint="eastAsia"/>
          <w:sz w:val="20"/>
          <w:lang w:eastAsia="zh-CN"/>
        </w:rPr>
        <w:t>收停车费</w:t>
      </w:r>
      <w:r>
        <w:rPr>
          <w:sz w:val="20"/>
        </w:rPr>
        <w:t>"</w:t>
      </w:r>
      <w:r>
        <w:rPr>
          <w:rFonts w:ascii="微软雅黑" w:eastAsia="微软雅黑" w:hAnsi="微软雅黑" w:cs="微软雅黑" w:hint="eastAsia"/>
          <w:sz w:val="20"/>
          <w:lang w:eastAsia="zh-CN"/>
        </w:rPr>
        <w:t>设计。</w:t>
      </w:r>
    </w:p>
    <w:p>
      <w:pPr>
        <w:pStyle w:val="Heading3"/>
        <w:spacing w:line="300" w:lineRule="auto"/>
      </w:pPr>
      <w:r>
        <w:rPr>
          <w:rFonts w:ascii="微软雅黑" w:hAnsi="微软雅黑" w:eastAsia="微软雅黑" w:cs="微软雅黑" w:hint="eastAsia"/>
          <w:b/>
          <w:color w:val="1565C0"/>
          <w:sz w:val="22"/>
          <w:lang w:eastAsia="zh-CN"/>
        </w:rPr>
        <w:t>5.3 竞争壁垒与可持续性</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壁垒</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说明</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可持续性</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方法论</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融合判断的规则体系与参数设计</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r>
              <w:rPr>
                <w:color w:val="212121"/>
                <w:sz w:val="16"/>
              </w:rPr>
              <w:t xml:space="preserve"> </w:t>
            </w:r>
            <w:r>
              <w:rPr>
                <w:color w:val="212121"/>
                <w:sz w:val="16"/>
              </w:rPr>
              <w:t>——</w:t>
            </w:r>
            <w:r>
              <w:rPr>
                <w:color w:val="212121"/>
                <w:sz w:val="16"/>
              </w:rPr>
              <w:t xml:space="preserve"> </w:t>
            </w:r>
            <w:r>
              <w:rPr>
                <w:color w:val="212121"/>
                <w:sz w:val="16"/>
              </w:rPr>
              <w:t>方法可被学习，但先发者已积累场景参数</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数据资产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校园场景标注数据集与场景适配经验库</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r>
              <w:rPr>
                <w:color w:val="212121"/>
                <w:sz w:val="16"/>
              </w:rPr>
              <w:t xml:space="preserve"> </w:t>
            </w:r>
            <w:r>
              <w:rPr>
                <w:color w:val="212121"/>
                <w:sz w:val="16"/>
              </w:rPr>
              <w:t>——</w:t>
            </w:r>
            <w:r>
              <w:rPr>
                <w:color w:val="212121"/>
                <w:sz w:val="16"/>
              </w:rPr>
              <w:t xml:space="preserve"> </w:t>
            </w:r>
            <w:r>
              <w:rPr>
                <w:color w:val="212121"/>
                <w:sz w:val="16"/>
              </w:rPr>
              <w:t>随交付场站数增长而累积，后来者难以短期复制</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客户关系与合规记录</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公共机构采购看重已交付案例与运行记录</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r>
              <w:rPr>
                <w:color w:val="212121"/>
                <w:sz w:val="16"/>
              </w:rPr>
              <w:t xml:space="preserve"> </w:t>
            </w:r>
            <w:r>
              <w:rPr>
                <w:color w:val="212121"/>
                <w:sz w:val="16"/>
              </w:rPr>
              <w:t>——</w:t>
            </w:r>
            <w:r>
              <w:rPr>
                <w:color w:val="212121"/>
                <w:sz w:val="16"/>
              </w:rPr>
              <w:t xml:space="preserve"> </w:t>
            </w:r>
            <w:r>
              <w:rPr>
                <w:color w:val="212121"/>
                <w:sz w:val="16"/>
              </w:rPr>
              <w:t>公共机构客户一旦上线，切换成本高</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与运营商的关系</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定位为监管层，可与充电运营商形成数据互补</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中高</w:t>
            </w:r>
            <w:r>
              <w:rPr>
                <w:color w:val="212121"/>
                <w:sz w:val="16"/>
              </w:rPr>
              <w:t xml:space="preserve"> </w:t>
            </w:r>
            <w:r>
              <w:rPr>
                <w:color w:val="212121"/>
                <w:sz w:val="16"/>
              </w:rPr>
              <w:t>——</w:t>
            </w:r>
            <w:r>
              <w:rPr>
                <w:color w:val="212121"/>
                <w:sz w:val="16"/>
              </w:rPr>
              <w:t xml:space="preserve"> </w:t>
            </w:r>
            <w:r>
              <w:rPr>
                <w:color w:val="212121"/>
                <w:sz w:val="16"/>
              </w:rPr>
              <w:t>关系建立需要时间，但一旦建立粘性强</w:t>
            </w:r>
          </w:p>
        </w:tc>
      </w:tr>
    </w:tbl>
    <w:p>
      <w:pPr>
        <w:jc w:val="both"/>
      </w:pPr>
      <w:r>
        <w:rPr>
          <w:rFonts w:ascii="微软雅黑" w:eastAsia="微软雅黑" w:hAnsi="微软雅黑" w:cs="微软雅黑" w:hint="eastAsia"/>
          <w:sz w:val="20"/>
          <w:lang w:eastAsia="zh-CN"/>
        </w:rPr>
        <w:t>需要诚实指出：本项目的技术门槛属于</w:t>
      </w:r>
      <w:r>
        <w:rPr>
          <w:rFonts w:ascii="微软雅黑" w:eastAsia="微软雅黑" w:hAnsi="微软雅黑" w:cs="微软雅黑" w:hint="eastAsia"/>
          <w:b/>
          <w:sz w:val="20"/>
          <w:lang w:eastAsia="zh-CN"/>
        </w:rPr>
        <w:t>工程实现与场景经验的复合门槛，而非算法原始创新的门槛</w:t>
      </w:r>
      <w:r>
        <w:rPr>
          <w:rFonts w:ascii="微软雅黑" w:eastAsia="微软雅黑" w:hAnsi="微软雅黑" w:cs="微软雅黑" w:hint="eastAsia"/>
          <w:sz w:val="20"/>
          <w:lang w:eastAsia="zh-CN"/>
        </w:rPr>
        <w:t>。真正的护城河来自</w:t>
      </w:r>
      <w:r>
        <w:rPr>
          <w:sz w:val="20"/>
        </w:rPr>
        <w:t>"</w:t>
      </w:r>
      <w:r>
        <w:rPr>
          <w:rFonts w:ascii="微软雅黑" w:eastAsia="微软雅黑" w:hAnsi="微软雅黑" w:cs="微软雅黑" w:hint="eastAsia"/>
          <w:sz w:val="20"/>
          <w:lang w:eastAsia="zh-CN"/>
        </w:rPr>
        <w:t>先进入</w:t>
      </w:r>
      <w:r>
        <w:rPr>
          <w:sz w:val="20"/>
        </w:rPr>
        <w:t xml:space="preserve"> + </w:t>
      </w:r>
      <w:r>
        <w:rPr>
          <w:rFonts w:ascii="微软雅黑" w:eastAsia="微软雅黑" w:hAnsi="微软雅黑" w:cs="微软雅黑" w:hint="eastAsia"/>
          <w:sz w:val="20"/>
          <w:lang w:eastAsia="zh-CN"/>
        </w:rPr>
        <w:t>场景数据</w:t>
      </w:r>
      <w:r>
        <w:rPr>
          <w:sz w:val="20"/>
        </w:rPr>
        <w:t xml:space="preserve"> + </w:t>
      </w:r>
      <w:r>
        <w:rPr>
          <w:rFonts w:ascii="微软雅黑" w:eastAsia="微软雅黑" w:hAnsi="微软雅黑" w:cs="微软雅黑" w:hint="eastAsia"/>
          <w:sz w:val="20"/>
          <w:lang w:eastAsia="zh-CN"/>
        </w:rPr>
        <w:t>客户合规记录</w:t>
      </w:r>
      <w:r>
        <w:rPr>
          <w:sz w:val="20"/>
        </w:rPr>
        <w:t>"</w:t>
      </w:r>
      <w:r>
        <w:rPr>
          <w:rFonts w:ascii="微软雅黑" w:eastAsia="微软雅黑" w:hAnsi="微软雅黑" w:cs="微软雅黑" w:hint="eastAsia"/>
          <w:sz w:val="20"/>
          <w:lang w:eastAsia="zh-CN"/>
        </w:rPr>
        <w:t>的组合，而不是某个模型本身。这也意味着竞争策略应当以</w:t>
      </w:r>
      <w:r>
        <w:rPr>
          <w:rFonts w:ascii="微软雅黑" w:eastAsia="微软雅黑" w:hAnsi="微软雅黑" w:cs="微软雅黑" w:hint="eastAsia"/>
          <w:b/>
          <w:sz w:val="20"/>
          <w:lang w:eastAsia="zh-CN"/>
        </w:rPr>
        <w:t>尽快复制场站数量</w:t>
      </w:r>
      <w:r>
        <w:rPr>
          <w:rFonts w:ascii="微软雅黑" w:eastAsia="微软雅黑" w:hAnsi="微软雅黑" w:cs="微软雅黑" w:hint="eastAsia"/>
          <w:sz w:val="20"/>
          <w:lang w:eastAsia="zh-CN"/>
        </w:rPr>
        <w:t>为核心。</w:t>
      </w:r>
    </w:p>
    <w:p>
      <w:bookmarkStart w:id="17" w:name="_Toc_section_6"/>
      <w:bookmarkStart w:id="5" w:name="section-6"/>
      <w:pPr>
        <w:pStyle w:val="Heading2"/>
        <w:spacing w:line="300" w:lineRule="auto"/>
      </w:pPr>
      <w:bookmarkEnd w:id="5"/>
      <w:r>
        <w:rPr>
          <w:rFonts w:ascii="微软雅黑" w:hAnsi="微软雅黑" w:eastAsia="微软雅黑" w:cs="微软雅黑" w:hint="eastAsia"/>
          <w:b/>
          <w:color w:val="1A237E"/>
          <w:sz w:val="26"/>
          <w:lang w:eastAsia="zh-CN"/>
        </w:rPr>
        <w:t>六、营销与推广策略</w:t>
      </w:r>
      <w:bookmarkEnd w:id="17"/>
    </w:p>
    <w:p>
      <w:pPr>
        <w:jc w:val="both"/>
      </w:pPr>
      <w:r>
        <w:rPr>
          <w:rFonts w:ascii="微软雅黑" w:eastAsia="微软雅黑" w:hAnsi="微软雅黑" w:cs="微软雅黑" w:hint="eastAsia"/>
          <w:sz w:val="20"/>
          <w:lang w:eastAsia="zh-CN"/>
        </w:rPr>
        <w:t>本章说明推广路径、推广手段与渠道合作方式，以及推广节奏上的取舍。</w:t>
      </w:r>
    </w:p>
    <w:p>
      <w:pPr>
        <w:pStyle w:val="Heading3"/>
        <w:spacing w:line="300" w:lineRule="auto"/>
      </w:pPr>
      <w:r>
        <w:rPr>
          <w:rFonts w:ascii="微软雅黑" w:hAnsi="微软雅黑" w:eastAsia="微软雅黑" w:cs="微软雅黑" w:hint="eastAsia"/>
          <w:b/>
          <w:color w:val="1565C0"/>
          <w:sz w:val="22"/>
          <w:lang w:eastAsia="zh-CN"/>
        </w:rPr>
        <w:t>6.1 三阶段推广路径</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阶段</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目标客户</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目标</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主要依据</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第一阶段：校内示范</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北京邮电大学</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建成可对外演示与参观的示范场站</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团队自身就在校内，可获得真实场景与真实用户反馈；示范场站是最有效的销售资料</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第二阶段：同类高校复制</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北京地区高校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签约首批外部高校客户</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高校之间存在密集的后勤交流渠道；同类场景的适配经验可直接复用</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第三阶段：公共机构与园区</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党政机关、公立医院、公共文体场馆、园区写字楼</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扩大客户类型，验证跨场景通用性</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JS/T 302—2026 </w:t>
            </w:r>
            <w:r>
              <w:rPr>
                <w:color w:val="212121"/>
                <w:sz w:val="16"/>
              </w:rPr>
              <w:t xml:space="preserve"> </w:t>
            </w:r>
            <w:r>
              <w:rPr>
                <w:color w:val="212121"/>
                <w:sz w:val="16"/>
              </w:rPr>
              <w:t>对公共机构明确要求运行管理与开放共享，需求刚性</w:t>
            </w:r>
          </w:p>
        </w:tc>
      </w:tr>
    </w:tbl>
    <w:p>
      <w:pPr>
        <w:jc w:val="both"/>
      </w:pPr>
      <w:r>
        <w:rPr>
          <w:rFonts w:ascii="微软雅黑" w:eastAsia="微软雅黑" w:hAnsi="微软雅黑" w:cs="微软雅黑" w:hint="eastAsia"/>
          <w:b/>
          <w:sz w:val="20"/>
          <w:lang w:eastAsia="zh-CN"/>
        </w:rPr>
        <w:t>关于推广节奏的取舍</w:t>
      </w:r>
      <w:r>
        <w:rPr>
          <w:rFonts w:ascii="微软雅黑" w:eastAsia="微软雅黑" w:hAnsi="微软雅黑" w:cs="微软雅黑" w:hint="eastAsia"/>
          <w:sz w:val="20"/>
          <w:lang w:eastAsia="zh-CN"/>
        </w:rPr>
        <w:t>：公共机构客户的采购周期长、决策链复杂，短期内难以形成规模收入。因此策略上先用高校场景完成产品打磨与案例积累（高校决策链相对短、场景同质化高），再以成熟案例切入公共机构。这样安排可以避免团队在早期被长周期采购拖住。</w:t>
      </w:r>
    </w:p>
    <w:p>
      <w:pPr>
        <w:pStyle w:val="Heading3"/>
        <w:spacing w:line="300" w:lineRule="auto"/>
      </w:pPr>
      <w:r>
        <w:rPr>
          <w:rFonts w:ascii="微软雅黑" w:hAnsi="微软雅黑" w:eastAsia="微软雅黑" w:cs="微软雅黑" w:hint="eastAsia"/>
          <w:b/>
          <w:color w:val="1565C0"/>
          <w:sz w:val="22"/>
          <w:lang w:eastAsia="zh-CN"/>
        </w:rPr>
        <w:t>6.2 推广手段</w:t>
      </w:r>
    </w:p>
    <w:p>
      <w:pPr>
        <w:pStyle w:val="ListNumber"/>
        <w:numPr>
          <w:ilvl w:val="0"/>
          <w:numId w:val="15"/>
        </w:numPr>
        <w:spacing w:after="60"/>
        <w:jc w:val="both"/>
      </w:pPr>
      <w:r>
        <w:rPr>
          <w:rFonts w:ascii="微软雅黑" w:eastAsia="微软雅黑" w:hAnsi="微软雅黑" w:cs="微软雅黑" w:hint="eastAsia"/>
          <w:b/>
          <w:sz w:val="20"/>
          <w:lang w:eastAsia="zh-CN"/>
        </w:rPr>
        <w:t>示范场站参观</w:t>
      </w:r>
      <w:r>
        <w:rPr>
          <w:rFonts w:ascii="微软雅黑" w:eastAsia="微软雅黑" w:hAnsi="微软雅黑" w:cs="微软雅黑" w:hint="eastAsia"/>
          <w:sz w:val="20"/>
          <w:lang w:eastAsia="zh-CN"/>
        </w:rPr>
        <w:t>。对公共机构客户而言，最有效的说服方式不是方案</w:t>
      </w:r>
      <w:r>
        <w:rPr>
          <w:sz w:val="20"/>
        </w:rPr>
        <w:t xml:space="preserve"> PPT</w:t>
      </w:r>
      <w:r>
        <w:rPr>
          <w:rFonts w:ascii="微软雅黑" w:eastAsia="微软雅黑" w:hAnsi="微软雅黑" w:cs="微软雅黑" w:hint="eastAsia"/>
          <w:sz w:val="20"/>
          <w:lang w:eastAsia="zh-CN"/>
        </w:rPr>
        <w:t>，而是到现场看一次</w:t>
      </w:r>
      <w:r>
        <w:rPr>
          <w:sz w:val="20"/>
        </w:rPr>
        <w:t>"</w:t>
      </w:r>
      <w:r>
        <w:rPr>
          <w:rFonts w:ascii="微软雅黑" w:eastAsia="微软雅黑" w:hAnsi="微软雅黑" w:cs="微软雅黑" w:hint="eastAsia"/>
          <w:sz w:val="20"/>
          <w:lang w:eastAsia="zh-CN"/>
        </w:rPr>
        <w:t>燃油车停在充电位</w:t>
      </w:r>
      <w:r>
        <w:rPr>
          <w:sz w:val="20"/>
        </w:rPr>
        <w:t xml:space="preserve"> → </w:t>
      </w:r>
      <w:r>
        <w:rPr>
          <w:rFonts w:ascii="微软雅黑" w:eastAsia="微软雅黑" w:hAnsi="微软雅黑" w:cs="微软雅黑" w:hint="eastAsia"/>
          <w:sz w:val="20"/>
          <w:lang w:eastAsia="zh-CN"/>
        </w:rPr>
        <w:t>短信发出</w:t>
      </w:r>
      <w:r>
        <w:rPr>
          <w:sz w:val="20"/>
        </w:rPr>
        <w:t xml:space="preserve"> → </w:t>
      </w:r>
      <w:r>
        <w:rPr>
          <w:rFonts w:ascii="微软雅黑" w:eastAsia="微软雅黑" w:hAnsi="微软雅黑" w:cs="微软雅黑" w:hint="eastAsia"/>
          <w:sz w:val="20"/>
          <w:lang w:eastAsia="zh-CN"/>
        </w:rPr>
        <w:t>后台出现记录</w:t>
      </w:r>
      <w:r>
        <w:rPr>
          <w:sz w:val="20"/>
        </w:rPr>
        <w:t>"</w:t>
      </w:r>
      <w:r>
        <w:rPr>
          <w:rFonts w:ascii="微软雅黑" w:eastAsia="微软雅黑" w:hAnsi="微软雅黑" w:cs="微软雅黑" w:hint="eastAsia"/>
          <w:sz w:val="20"/>
          <w:lang w:eastAsia="zh-CN"/>
        </w:rPr>
        <w:t>的完整过程。</w:t>
      </w:r>
    </w:p>
    <w:p>
      <w:pPr>
        <w:pStyle w:val="ListNumber"/>
        <w:numPr>
          <w:ilvl w:val="0"/>
          <w:numId w:val="15"/>
        </w:numPr>
        <w:spacing w:after="60"/>
        <w:jc w:val="both"/>
      </w:pPr>
      <w:r>
        <w:rPr>
          <w:rFonts w:ascii="微软雅黑" w:eastAsia="微软雅黑" w:hAnsi="微软雅黑" w:cs="微软雅黑" w:hint="eastAsia"/>
          <w:b/>
          <w:sz w:val="20"/>
          <w:lang w:eastAsia="zh-CN"/>
        </w:rPr>
        <w:t>竞赛与展示平台</w:t>
      </w:r>
      <w:r>
        <w:rPr>
          <w:rFonts w:ascii="微软雅黑" w:eastAsia="微软雅黑" w:hAnsi="微软雅黑" w:cs="微软雅黑" w:hint="eastAsia"/>
          <w:sz w:val="20"/>
          <w:lang w:eastAsia="zh-CN"/>
        </w:rPr>
        <w:t>。以创新创业竞赛、科技展会与校园科技活动作为对外展示窗口，其价值不只是获奖，更在于获得行业评委与主管部门的背书与联系方式。</w:t>
      </w:r>
    </w:p>
    <w:p>
      <w:pPr>
        <w:pStyle w:val="ListNumber"/>
        <w:numPr>
          <w:ilvl w:val="0"/>
          <w:numId w:val="15"/>
        </w:numPr>
        <w:spacing w:after="60"/>
        <w:jc w:val="both"/>
      </w:pPr>
      <w:r>
        <w:rPr>
          <w:rFonts w:ascii="微软雅黑" w:eastAsia="微软雅黑" w:hAnsi="微软雅黑" w:cs="微软雅黑" w:hint="eastAsia"/>
          <w:b/>
          <w:sz w:val="20"/>
          <w:lang w:eastAsia="zh-CN"/>
        </w:rPr>
        <w:t>学术与行业渠道</w:t>
      </w:r>
      <w:r>
        <w:rPr>
          <w:rFonts w:ascii="微软雅黑" w:eastAsia="微软雅黑" w:hAnsi="微软雅黑" w:cs="微软雅黑" w:hint="eastAsia"/>
          <w:sz w:val="20"/>
          <w:lang w:eastAsia="zh-CN"/>
        </w:rPr>
        <w:t>。依托学院与指导教师的行业关系，触达高校后勤管理与机关事务管理部门的专业交流场合。</w:t>
      </w:r>
    </w:p>
    <w:p>
      <w:pPr>
        <w:pStyle w:val="ListNumber"/>
        <w:numPr>
          <w:ilvl w:val="0"/>
          <w:numId w:val="15"/>
        </w:numPr>
        <w:spacing w:after="60"/>
        <w:jc w:val="both"/>
      </w:pPr>
      <w:r>
        <w:rPr>
          <w:rFonts w:ascii="微软雅黑" w:eastAsia="微软雅黑" w:hAnsi="微软雅黑" w:cs="微软雅黑" w:hint="eastAsia"/>
          <w:b/>
          <w:sz w:val="20"/>
          <w:lang w:eastAsia="zh-CN"/>
        </w:rPr>
        <w:t>内容与数据公开</w:t>
      </w:r>
      <w:r>
        <w:rPr>
          <w:rFonts w:ascii="微软雅黑" w:eastAsia="微软雅黑" w:hAnsi="微软雅黑" w:cs="微软雅黑" w:hint="eastAsia"/>
          <w:sz w:val="20"/>
          <w:lang w:eastAsia="zh-CN"/>
        </w:rPr>
        <w:t>。定期发布校园充电车位占用情况的分析报告（脱敏口径），以数据引发关注并建立专业形象。这类内容成本低，但对</w:t>
      </w:r>
      <w:r>
        <w:rPr>
          <w:sz w:val="20"/>
        </w:rPr>
        <w:t>"</w:t>
      </w:r>
      <w:r>
        <w:rPr>
          <w:rFonts w:ascii="微软雅黑" w:eastAsia="微软雅黑" w:hAnsi="微软雅黑" w:cs="微软雅黑" w:hint="eastAsia"/>
          <w:sz w:val="20"/>
          <w:lang w:eastAsia="zh-CN"/>
        </w:rPr>
        <w:t>要不要管、管到什么程度</w:t>
      </w:r>
      <w:r>
        <w:rPr>
          <w:sz w:val="20"/>
        </w:rPr>
        <w:t>"</w:t>
      </w:r>
      <w:r>
        <w:rPr>
          <w:rFonts w:ascii="微软雅黑" w:eastAsia="微软雅黑" w:hAnsi="微软雅黑" w:cs="微软雅黑" w:hint="eastAsia"/>
          <w:sz w:val="20"/>
          <w:lang w:eastAsia="zh-CN"/>
        </w:rPr>
        <w:t>的讨论有直接推动作用。</w:t>
      </w:r>
    </w:p>
    <w:p>
      <w:pPr>
        <w:pStyle w:val="Heading3"/>
        <w:spacing w:line="300" w:lineRule="auto"/>
      </w:pPr>
      <w:r>
        <w:rPr>
          <w:rFonts w:ascii="微软雅黑" w:hAnsi="微软雅黑" w:eastAsia="微软雅黑" w:cs="微软雅黑" w:hint="eastAsia"/>
          <w:b/>
          <w:color w:val="1565C0"/>
          <w:sz w:val="22"/>
          <w:lang w:eastAsia="zh-CN"/>
        </w:rPr>
        <w:t>6.3 渠道与合作</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合作方</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合作方式</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对本项目的价值</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充电桩运营商</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补能状态数据接口对接、</w:t>
            </w:r>
            <w:r>
              <w:rPr>
                <w:color w:val="212121"/>
                <w:sz w:val="16"/>
              </w:rPr>
              <w:t xml:space="preserve"> </w:t>
            </w:r>
            <w:r>
              <w:rPr>
                <w:color w:val="212121"/>
                <w:sz w:val="16"/>
              </w:rPr>
              <w:t xml:space="preserve">OCPP </w:t>
            </w:r>
            <w:r>
              <w:rPr>
                <w:color w:val="212121"/>
                <w:sz w:val="16"/>
              </w:rPr>
              <w:t xml:space="preserve"> </w:t>
            </w:r>
            <w:r>
              <w:rPr>
                <w:color w:val="212121"/>
                <w:sz w:val="16"/>
              </w:rPr>
              <w:t>适配协作</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解决</w:t>
            </w:r>
            <w:r>
              <w:rPr>
                <w:color w:val="212121"/>
                <w:sz w:val="16"/>
              </w:rPr>
              <w:t xml:space="preserve"> </w:t>
            </w:r>
            <w:r>
              <w:rPr>
                <w:color w:val="212121"/>
                <w:sz w:val="16"/>
              </w:rPr>
              <w:t>"</w:t>
            </w:r>
            <w:r>
              <w:rPr>
                <w:color w:val="212121"/>
                <w:sz w:val="16"/>
              </w:rPr>
              <w:t xml:space="preserve"> </w:t>
            </w:r>
            <w:r>
              <w:rPr>
                <w:color w:val="212121"/>
                <w:sz w:val="16"/>
              </w:rPr>
              <w:t>充电状态</w:t>
            </w:r>
            <w:r>
              <w:rPr>
                <w:color w:val="212121"/>
                <w:sz w:val="16"/>
              </w:rPr>
              <w:t xml:space="preserve"> </w:t>
            </w:r>
            <w:r>
              <w:rPr>
                <w:color w:val="212121"/>
                <w:sz w:val="16"/>
              </w:rPr>
              <w:t>"</w:t>
            </w:r>
            <w:r>
              <w:rPr>
                <w:color w:val="212121"/>
                <w:sz w:val="16"/>
              </w:rPr>
              <w:t xml:space="preserve"> </w:t>
            </w:r>
            <w:r>
              <w:rPr>
                <w:color w:val="212121"/>
                <w:sz w:val="16"/>
              </w:rPr>
              <w:t>数据获取的长期来源，替代当前的模拟数据</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高校后勤管理部门</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示范场站共建、使用反馈</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获取真实场景数据与首批客户背书</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属地机关事务管理部门</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参与标准落地试点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进入公共机构客户名单的合规路径</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系统集成商</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作为分包模块嵌入其智慧校园</w:t>
            </w:r>
            <w:r>
              <w:rPr>
                <w:color w:val="212121"/>
                <w:sz w:val="16"/>
              </w:rPr>
              <w:t xml:space="preserve"> </w:t>
            </w:r>
            <w:r>
              <w:rPr>
                <w:color w:val="212121"/>
                <w:sz w:val="16"/>
              </w:rPr>
              <w:t xml:space="preserve"> / </w:t>
            </w:r>
            <w:r>
              <w:rPr>
                <w:color w:val="212121"/>
                <w:sz w:val="16"/>
              </w:rPr>
              <w:t xml:space="preserve"> </w:t>
            </w:r>
            <w:r>
              <w:rPr>
                <w:color w:val="212121"/>
                <w:sz w:val="16"/>
              </w:rPr>
              <w:t>智慧园区方案</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借渠道快速扩大场站覆盖</w:t>
            </w:r>
          </w:p>
        </w:tc>
      </w:tr>
    </w:tbl>
    <w:p>
      <w:pPr>
        <w:jc w:val="both"/>
      </w:pPr>
      <w:r>
        <w:rPr>
          <w:rFonts w:ascii="微软雅黑" w:eastAsia="微软雅黑" w:hAnsi="微软雅黑" w:cs="微软雅黑" w:hint="eastAsia"/>
          <w:sz w:val="20"/>
          <w:lang w:eastAsia="zh-CN"/>
        </w:rPr>
        <w:t>系统集成商渠道值得单独说明：智慧校园与智慧园区的总包方通常需要</w:t>
      </w:r>
      <w:r>
        <w:rPr>
          <w:sz w:val="20"/>
        </w:rPr>
        <w:t>"</w:t>
      </w:r>
      <w:r>
        <w:rPr>
          <w:rFonts w:ascii="微软雅黑" w:eastAsia="微软雅黑" w:hAnsi="微软雅黑" w:cs="微软雅黑" w:hint="eastAsia"/>
          <w:sz w:val="20"/>
          <w:lang w:eastAsia="zh-CN"/>
        </w:rPr>
        <w:t>充电车位监管</w:t>
      </w:r>
      <w:r>
        <w:rPr>
          <w:sz w:val="20"/>
        </w:rPr>
        <w:t>"</w:t>
      </w:r>
      <w:r>
        <w:rPr>
          <w:rFonts w:ascii="微软雅黑" w:eastAsia="微软雅黑" w:hAnsi="微软雅黑" w:cs="微软雅黑" w:hint="eastAsia"/>
          <w:sz w:val="20"/>
          <w:lang w:eastAsia="zh-CN"/>
        </w:rPr>
        <w:t>这类细分功能模块，但自行研发不经济。本项目以模块形式嵌入其方案，可以在不承担客户获取成本的前提下快速扩大部署场站数，同时把实施工作量留在对方一侧。这对一个以人力为主要成本的团队而言是更高效的增长路径。</w:t>
      </w:r>
    </w:p>
    <w:p>
      <w:bookmarkStart w:id="18" w:name="_Toc_section_7"/>
      <w:bookmarkStart w:id="6" w:name="section-7"/>
      <w:pPr>
        <w:pStyle w:val="Heading2"/>
        <w:spacing w:line="300" w:lineRule="auto"/>
      </w:pPr>
      <w:bookmarkEnd w:id="6"/>
      <w:r>
        <w:rPr>
          <w:rFonts w:ascii="微软雅黑" w:hAnsi="微软雅黑" w:eastAsia="微软雅黑" w:cs="微软雅黑" w:hint="eastAsia"/>
          <w:b/>
          <w:color w:val="1A237E"/>
          <w:sz w:val="26"/>
          <w:lang w:eastAsia="zh-CN"/>
        </w:rPr>
        <w:t>七、团队介绍</w:t>
      </w:r>
      <w:bookmarkEnd w:id="18"/>
    </w:p>
    <w:p>
      <w:pPr>
        <w:jc w:val="both"/>
      </w:pPr>
      <w:r>
        <w:rPr>
          <w:rFonts w:ascii="微软雅黑" w:eastAsia="微软雅黑" w:hAnsi="微软雅黑" w:cs="微软雅黑" w:hint="eastAsia"/>
          <w:sz w:val="20"/>
          <w:lang w:eastAsia="zh-CN"/>
        </w:rPr>
        <w:t>本章说明团队构成、职责分工、协作机制与团队优势，并如实列出短板与补强计划。</w:t>
      </w:r>
    </w:p>
    <w:p>
      <w:pPr>
        <w:pStyle w:val="Heading3"/>
        <w:spacing w:line="300" w:lineRule="auto"/>
      </w:pPr>
      <w:r>
        <w:rPr>
          <w:rFonts w:ascii="微软雅黑" w:hAnsi="微软雅黑" w:eastAsia="微软雅黑" w:cs="微软雅黑" w:hint="eastAsia"/>
          <w:b/>
          <w:color w:val="1565C0"/>
          <w:sz w:val="22"/>
          <w:lang w:eastAsia="zh-CN"/>
        </w:rPr>
        <w:t>7.1 团队构成</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成员</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学院</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专业</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项目分工</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投入精力</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吕浩（负责人）</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信息与通信工程学院</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进度统筹、任务分配、系统集成；前端功能开发；短信与规则引擎后端接口</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汤瑾睿</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信息与通信工程学院</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数据库搭建与维护、数据逻辑设计；车辆检测、车牌识别、充电状态模拟算法</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吴和庆</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信息与通信工程学院</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后台界面视觉设计、</w:t>
            </w:r>
            <w:r>
              <w:rPr>
                <w:color w:val="212121"/>
                <w:sz w:val="16"/>
              </w:rPr>
              <w:t xml:space="preserve"> </w:t>
            </w:r>
            <w:r>
              <w:rPr>
                <w:color w:val="212121"/>
                <w:sz w:val="16"/>
              </w:rPr>
              <w:t xml:space="preserve">UI </w:t>
            </w:r>
            <w:r>
              <w:rPr>
                <w:color w:val="212121"/>
                <w:sz w:val="16"/>
              </w:rPr>
              <w:t xml:space="preserve"> </w:t>
            </w:r>
            <w:r>
              <w:rPr>
                <w:color w:val="212121"/>
                <w:sz w:val="16"/>
              </w:rPr>
              <w:t>素材与图标、线框与设计系统</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景文鹏（指导教师）</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信息与通信工程学院</w:t>
            </w:r>
            <w:r>
              <w:rPr>
                <w:color w:val="212121"/>
                <w:sz w:val="16"/>
              </w:rPr>
              <w:t xml:space="preserve"> </w:t>
            </w:r>
            <w:r>
              <w:rPr>
                <w:color w:val="212121"/>
                <w:sz w:val="16"/>
              </w:rPr>
              <w:t xml:space="preserve"> · </w:t>
            </w:r>
            <w:r>
              <w:rPr>
                <w:color w:val="212121"/>
                <w:sz w:val="16"/>
              </w:rPr>
              <w:t xml:space="preserve"> </w:t>
            </w:r>
            <w:r>
              <w:rPr>
                <w:color w:val="212121"/>
                <w:sz w:val="16"/>
              </w:rPr>
              <w:t>副教授</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技术路线指导、阶段性评审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w:t>
            </w:r>
          </w:p>
        </w:tc>
      </w:tr>
    </w:tbl>
    <w:p>
      <w:pPr>
        <w:pStyle w:val="Heading3"/>
        <w:spacing w:line="300" w:lineRule="auto"/>
      </w:pPr>
      <w:r>
        <w:rPr>
          <w:rFonts w:ascii="微软雅黑" w:hAnsi="微软雅黑" w:eastAsia="微软雅黑" w:cs="微软雅黑" w:hint="eastAsia"/>
          <w:b/>
          <w:color w:val="1565C0"/>
          <w:sz w:val="22"/>
          <w:lang w:eastAsia="zh-CN"/>
        </w:rPr>
        <w:t>7.2 职责分工</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工作项</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吕浩</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汤瑾睿</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吴和庆</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接口契约（</w:t>
            </w:r>
            <w:r>
              <w:rPr>
                <w:color w:val="212121"/>
                <w:sz w:val="16"/>
              </w:rPr>
              <w:t xml:space="preserve"> </w:t>
            </w:r>
            <w:r>
              <w:rPr>
                <w:color w:val="212121"/>
                <w:sz w:val="16"/>
              </w:rPr>
              <w:t>CONTRACT</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主责</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确认</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确认</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数据库与算法（</w:t>
            </w:r>
            <w:r>
              <w:rPr>
                <w:color w:val="212121"/>
                <w:sz w:val="16"/>
              </w:rPr>
              <w:t xml:space="preserve"> </w:t>
            </w:r>
            <w:r>
              <w:rPr>
                <w:color w:val="212121"/>
                <w:sz w:val="16"/>
              </w:rPr>
              <w:t>M1–M5</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接口封装</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主责</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短信与规则接口（</w:t>
            </w:r>
            <w:r>
              <w:rPr>
                <w:color w:val="212121"/>
                <w:sz w:val="16"/>
              </w:rPr>
              <w:t xml:space="preserve"> </w:t>
            </w:r>
            <w:r>
              <w:rPr>
                <w:color w:val="212121"/>
                <w:sz w:val="16"/>
              </w:rPr>
              <w:t>M5/M6</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主责</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配合</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前端实现（</w:t>
            </w:r>
            <w:r>
              <w:rPr>
                <w:color w:val="212121"/>
                <w:sz w:val="16"/>
              </w:rPr>
              <w:t xml:space="preserve"> </w:t>
            </w:r>
            <w:r>
              <w:rPr>
                <w:color w:val="212121"/>
                <w:sz w:val="16"/>
              </w:rPr>
              <w:t>M7</w:t>
            </w:r>
            <w:r>
              <w:rPr>
                <w:color w:val="212121"/>
                <w:sz w:val="16"/>
              </w:rPr>
              <w:t xml:space="preserve"> </w:t>
            </w: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主责</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设计支持</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设计系统与线框</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遵循</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主责</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集成合入与测试</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主责</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各自模块自测</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设计走查</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文档与结题材料</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统筹</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技术章节</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视觉素材</w:t>
            </w:r>
          </w:p>
        </w:tc>
      </w:tr>
    </w:tbl>
    <w:p>
      <w:pPr>
        <w:pStyle w:val="Heading3"/>
        <w:spacing w:line="300" w:lineRule="auto"/>
      </w:pPr>
      <w:r>
        <w:rPr>
          <w:rFonts w:ascii="微软雅黑" w:hAnsi="微软雅黑" w:eastAsia="微软雅黑" w:cs="微软雅黑" w:hint="eastAsia"/>
          <w:b/>
          <w:color w:val="1565C0"/>
          <w:sz w:val="22"/>
          <w:lang w:eastAsia="zh-CN"/>
        </w:rPr>
        <w:t>7.3 团队优势与协作机制</w:t>
      </w:r>
    </w:p>
    <w:p>
      <w:pPr>
        <w:jc w:val="both"/>
      </w:pPr>
      <w:r>
        <w:rPr>
          <w:rFonts w:ascii="微软雅黑" w:eastAsia="微软雅黑" w:hAnsi="微软雅黑" w:cs="微软雅黑" w:hint="eastAsia"/>
          <w:b/>
          <w:sz w:val="20"/>
          <w:lang w:eastAsia="zh-CN"/>
        </w:rPr>
        <w:t>优势</w:t>
      </w:r>
      <w:r>
        <w:rPr>
          <w:rFonts w:ascii="微软雅黑" w:eastAsia="微软雅黑" w:hAnsi="微软雅黑" w:cs="微软雅黑" w:hint="eastAsia"/>
          <w:sz w:val="20"/>
          <w:lang w:eastAsia="zh-CN"/>
        </w:rPr>
        <w:t>：</w:t>
      </w:r>
    </w:p>
    <w:p>
      <w:pPr>
        <w:pStyle w:val="ListNumber"/>
        <w:numPr>
          <w:ilvl w:val="0"/>
          <w:numId w:val="16"/>
        </w:numPr>
        <w:spacing w:after="60"/>
        <w:jc w:val="both"/>
      </w:pPr>
      <w:r>
        <w:rPr>
          <w:rFonts w:ascii="微软雅黑" w:eastAsia="微软雅黑" w:hAnsi="微软雅黑" w:cs="微软雅黑" w:hint="eastAsia"/>
          <w:b/>
          <w:sz w:val="20"/>
          <w:lang w:eastAsia="zh-CN"/>
        </w:rPr>
        <w:t>能力互补且无重叠</w:t>
      </w:r>
      <w:r>
        <w:rPr>
          <w:rFonts w:ascii="微软雅黑" w:eastAsia="微软雅黑" w:hAnsi="微软雅黑" w:cs="微软雅黑" w:hint="eastAsia"/>
          <w:sz w:val="20"/>
          <w:lang w:eastAsia="zh-CN"/>
        </w:rPr>
        <w:t>。一人负责集成与前端、一人负责数据与算法、一人负责视觉设计，三条线并行且彼此依赖清晰，减少了常见的</w:t>
      </w:r>
      <w:r>
        <w:rPr>
          <w:sz w:val="20"/>
        </w:rPr>
        <w:t>"</w:t>
      </w:r>
      <w:r>
        <w:rPr>
          <w:rFonts w:ascii="微软雅黑" w:eastAsia="微软雅黑" w:hAnsi="微软雅黑" w:cs="微软雅黑" w:hint="eastAsia"/>
          <w:sz w:val="20"/>
          <w:lang w:eastAsia="zh-CN"/>
        </w:rPr>
        <w:t>三个算法工程师做一个前端</w:t>
      </w:r>
      <w:r>
        <w:rPr>
          <w:sz w:val="20"/>
        </w:rPr>
        <w:t>"</w:t>
      </w:r>
      <w:r>
        <w:rPr>
          <w:rFonts w:ascii="微软雅黑" w:eastAsia="微软雅黑" w:hAnsi="微软雅黑" w:cs="微软雅黑" w:hint="eastAsia"/>
          <w:sz w:val="20"/>
          <w:lang w:eastAsia="zh-CN"/>
        </w:rPr>
        <w:t>的结构性浪费。</w:t>
      </w:r>
    </w:p>
    <w:p>
      <w:pPr>
        <w:pStyle w:val="ListNumber"/>
        <w:numPr>
          <w:ilvl w:val="0"/>
          <w:numId w:val="16"/>
        </w:numPr>
        <w:spacing w:after="60"/>
        <w:jc w:val="both"/>
      </w:pPr>
      <w:r>
        <w:rPr>
          <w:rFonts w:ascii="微软雅黑" w:eastAsia="微软雅黑" w:hAnsi="微软雅黑" w:cs="微软雅黑" w:hint="eastAsia"/>
          <w:b/>
          <w:sz w:val="20"/>
          <w:lang w:eastAsia="zh-CN"/>
        </w:rPr>
        <w:t>同学院、同作息、可高频协同</w:t>
      </w:r>
      <w:r>
        <w:rPr>
          <w:rFonts w:ascii="微软雅黑" w:eastAsia="微软雅黑" w:hAnsi="微软雅黑" w:cs="微软雅黑" w:hint="eastAsia"/>
          <w:sz w:val="20"/>
          <w:lang w:eastAsia="zh-CN"/>
        </w:rPr>
        <w:t>。三人同院，能保证周会与结对调试的稳定性，这对需要跨模块联调的系统项目至关重要。</w:t>
      </w:r>
    </w:p>
    <w:p>
      <w:pPr>
        <w:pStyle w:val="ListNumber"/>
        <w:numPr>
          <w:ilvl w:val="0"/>
          <w:numId w:val="16"/>
        </w:numPr>
        <w:spacing w:after="60"/>
        <w:jc w:val="both"/>
      </w:pPr>
      <w:r>
        <w:rPr>
          <w:rFonts w:ascii="微软雅黑" w:eastAsia="微软雅黑" w:hAnsi="微软雅黑" w:cs="微软雅黑" w:hint="eastAsia"/>
          <w:b/>
          <w:sz w:val="20"/>
          <w:lang w:eastAsia="zh-CN"/>
        </w:rPr>
        <w:t>已有可验证的工程纪律</w:t>
      </w:r>
      <w:r>
        <w:rPr>
          <w:rFonts w:ascii="微软雅黑" w:eastAsia="微软雅黑" w:hAnsi="微软雅黑" w:cs="微软雅黑" w:hint="eastAsia"/>
          <w:sz w:val="20"/>
          <w:lang w:eastAsia="zh-CN"/>
        </w:rPr>
        <w:t>。团队在项目初期即建立了接口契约文档、分支策略与</w:t>
      </w:r>
      <w:r>
        <w:rPr>
          <w:sz w:val="20"/>
        </w:rPr>
        <w:t>"</w:t>
      </w:r>
      <w:r>
        <w:rPr>
          <w:rFonts w:ascii="微软雅黑" w:eastAsia="微软雅黑" w:hAnsi="微软雅黑" w:cs="微软雅黑" w:hint="eastAsia"/>
          <w:sz w:val="20"/>
          <w:lang w:eastAsia="zh-CN"/>
        </w:rPr>
        <w:t>改动必提交、交付必测试</w:t>
      </w:r>
      <w:r>
        <w:rPr>
          <w:sz w:val="20"/>
        </w:rPr>
        <w:t>"</w:t>
      </w:r>
      <w:r>
        <w:rPr>
          <w:rFonts w:ascii="微软雅黑" w:eastAsia="微软雅黑" w:hAnsi="微软雅黑" w:cs="微软雅黑" w:hint="eastAsia"/>
          <w:sz w:val="20"/>
          <w:lang w:eastAsia="zh-CN"/>
        </w:rPr>
        <w:t>的规范，并已通过端到端闭环与自动化测试验证</w:t>
      </w:r>
      <w:r>
        <w:rPr>
          <w:sz w:val="20"/>
        </w:rPr>
        <w:t>——</w:t>
      </w:r>
      <w:r>
        <w:rPr>
          <w:rFonts w:ascii="微软雅黑" w:eastAsia="微软雅黑" w:hAnsi="微软雅黑" w:cs="微软雅黑" w:hint="eastAsia"/>
          <w:sz w:val="20"/>
          <w:lang w:eastAsia="zh-CN"/>
        </w:rPr>
        <w:t>交付给客户的代码质量不是承诺，而是可查看的既成事实。</w:t>
      </w:r>
    </w:p>
    <w:p>
      <w:pPr>
        <w:pStyle w:val="ListNumber"/>
        <w:numPr>
          <w:ilvl w:val="0"/>
          <w:numId w:val="16"/>
        </w:numPr>
        <w:spacing w:after="60"/>
        <w:jc w:val="both"/>
      </w:pPr>
      <w:r>
        <w:rPr>
          <w:rFonts w:ascii="微软雅黑" w:eastAsia="微软雅黑" w:hAnsi="微软雅黑" w:cs="微软雅黑" w:hint="eastAsia"/>
          <w:b/>
          <w:sz w:val="20"/>
          <w:lang w:eastAsia="zh-CN"/>
        </w:rPr>
        <w:t>有指导教师的技术路线把关</w:t>
      </w:r>
      <w:r>
        <w:rPr>
          <w:rFonts w:ascii="微软雅黑" w:eastAsia="微软雅黑" w:hAnsi="微软雅黑" w:cs="微软雅黑" w:hint="eastAsia"/>
          <w:sz w:val="20"/>
          <w:lang w:eastAsia="zh-CN"/>
        </w:rPr>
        <w:t>。阶段性评审机制避免了团队在错误的技术方向上投入过多时间。</w:t>
      </w:r>
    </w:p>
    <w:p>
      <w:pPr>
        <w:jc w:val="both"/>
      </w:pPr>
      <w:r>
        <w:rPr>
          <w:rFonts w:ascii="微软雅黑" w:eastAsia="微软雅黑" w:hAnsi="微软雅黑" w:cs="微软雅黑" w:hint="eastAsia"/>
          <w:b/>
          <w:sz w:val="20"/>
          <w:lang w:eastAsia="zh-CN"/>
        </w:rPr>
        <w:t>协作机制</w:t>
      </w:r>
      <w:r>
        <w:rPr>
          <w:rFonts w:ascii="微软雅黑" w:eastAsia="微软雅黑" w:hAnsi="微软雅黑" w:cs="微软雅黑" w:hint="eastAsia"/>
          <w:sz w:val="20"/>
          <w:lang w:eastAsia="zh-CN"/>
        </w:rPr>
        <w:t>：</w:t>
      </w:r>
    </w:p>
    <w:p>
      <w:pPr>
        <w:pStyle w:val="ListBullet"/>
        <w:spacing w:after="60"/>
        <w:jc w:val="both"/>
      </w:pPr>
      <w:r>
        <w:rPr>
          <w:rFonts w:ascii="微软雅黑" w:eastAsia="微软雅黑" w:hAnsi="微软雅黑" w:cs="微软雅黑" w:hint="eastAsia"/>
          <w:b/>
          <w:sz w:val="20"/>
          <w:lang w:eastAsia="zh-CN"/>
        </w:rPr>
        <w:t>分支策略</w:t>
      </w:r>
      <w:r>
        <w:rPr>
          <w:rFonts w:ascii="微软雅黑" w:eastAsia="微软雅黑" w:hAnsi="微软雅黑" w:cs="微软雅黑" w:hint="eastAsia"/>
          <w:sz w:val="20"/>
          <w:lang w:eastAsia="zh-CN"/>
        </w:rPr>
        <w:t>：主干为保护分支，功能开发使用独立分支，由负责人统一合入，避免多人合并弄乱主干。</w:t>
      </w:r>
    </w:p>
    <w:p>
      <w:pPr>
        <w:pStyle w:val="ListBullet"/>
        <w:spacing w:after="60"/>
        <w:jc w:val="both"/>
      </w:pPr>
      <w:r>
        <w:rPr>
          <w:rFonts w:ascii="微软雅黑" w:eastAsia="微软雅黑" w:hAnsi="微软雅黑" w:cs="微软雅黑" w:hint="eastAsia"/>
          <w:b/>
          <w:sz w:val="20"/>
          <w:lang w:eastAsia="zh-CN"/>
        </w:rPr>
        <w:t>提交规范</w:t>
      </w:r>
      <w:r>
        <w:rPr>
          <w:rFonts w:ascii="微软雅黑" w:eastAsia="微软雅黑" w:hAnsi="微软雅黑" w:cs="微软雅黑" w:hint="eastAsia"/>
          <w:sz w:val="20"/>
          <w:lang w:eastAsia="zh-CN"/>
        </w:rPr>
        <w:t>：每完成一步即提交，提交信息按</w:t>
      </w:r>
      <w:r>
        <w:rPr>
          <w:sz w:val="20"/>
        </w:rPr>
        <w:t>"</w:t>
      </w:r>
      <w:r>
        <w:rPr>
          <w:rFonts w:ascii="微软雅黑" w:eastAsia="微软雅黑" w:hAnsi="微软雅黑" w:cs="微软雅黑" w:hint="eastAsia"/>
          <w:sz w:val="20"/>
          <w:lang w:eastAsia="zh-CN"/>
        </w:rPr>
        <w:t>模块：简述</w:t>
      </w:r>
      <w:r>
        <w:rPr>
          <w:sz w:val="20"/>
        </w:rPr>
        <w:t>"</w:t>
      </w:r>
      <w:r>
        <w:rPr>
          <w:rFonts w:ascii="微软雅黑" w:eastAsia="微软雅黑" w:hAnsi="微软雅黑" w:cs="微软雅黑" w:hint="eastAsia"/>
          <w:sz w:val="20"/>
          <w:lang w:eastAsia="zh-CN"/>
        </w:rPr>
        <w:t>格式书写，保证可追溯、可回滚。</w:t>
      </w:r>
    </w:p>
    <w:p>
      <w:pPr>
        <w:pStyle w:val="ListBullet"/>
        <w:spacing w:after="60"/>
        <w:jc w:val="both"/>
      </w:pPr>
      <w:r>
        <w:rPr>
          <w:rFonts w:ascii="微软雅黑" w:eastAsia="微软雅黑" w:hAnsi="微软雅黑" w:cs="微软雅黑" w:hint="eastAsia"/>
          <w:b/>
          <w:sz w:val="20"/>
          <w:lang w:eastAsia="zh-CN"/>
        </w:rPr>
        <w:t>契约变更流程</w:t>
      </w:r>
      <w:r>
        <w:rPr>
          <w:rFonts w:ascii="微软雅黑" w:eastAsia="微软雅黑" w:hAnsi="微软雅黑" w:cs="微软雅黑" w:hint="eastAsia"/>
          <w:sz w:val="20"/>
          <w:lang w:eastAsia="zh-CN"/>
        </w:rPr>
        <w:t>：任何接口调整须先修改契约文档、全员通告并升版本号，之后才能改动代码，禁止单方面改动己方接口。</w:t>
      </w:r>
    </w:p>
    <w:p>
      <w:pPr>
        <w:pStyle w:val="ListBullet"/>
        <w:spacing w:after="60"/>
        <w:jc w:val="both"/>
      </w:pPr>
      <w:r>
        <w:rPr>
          <w:rFonts w:ascii="微软雅黑" w:eastAsia="微软雅黑" w:hAnsi="微软雅黑" w:cs="微软雅黑" w:hint="eastAsia"/>
          <w:b/>
          <w:sz w:val="20"/>
          <w:lang w:eastAsia="zh-CN"/>
        </w:rPr>
        <w:t>周会节奏</w:t>
      </w:r>
      <w:r>
        <w:rPr>
          <w:rFonts w:ascii="微软雅黑" w:eastAsia="微软雅黑" w:hAnsi="微软雅黑" w:cs="微软雅黑" w:hint="eastAsia"/>
          <w:sz w:val="20"/>
          <w:lang w:eastAsia="zh-CN"/>
        </w:rPr>
        <w:t>：每周固定同步</w:t>
      </w:r>
      <w:r>
        <w:rPr>
          <w:sz w:val="20"/>
        </w:rPr>
        <w:t>"</w:t>
      </w:r>
      <w:r>
        <w:rPr>
          <w:rFonts w:ascii="微软雅黑" w:eastAsia="微软雅黑" w:hAnsi="微软雅黑" w:cs="微软雅黑" w:hint="eastAsia"/>
          <w:sz w:val="20"/>
          <w:lang w:eastAsia="zh-CN"/>
        </w:rPr>
        <w:t>已完成</w:t>
      </w:r>
      <w:r>
        <w:rPr>
          <w:sz w:val="20"/>
        </w:rPr>
        <w:t xml:space="preserve"> / </w:t>
      </w:r>
      <w:r>
        <w:rPr>
          <w:rFonts w:ascii="微软雅黑" w:eastAsia="微软雅黑" w:hAnsi="微软雅黑" w:cs="微软雅黑" w:hint="eastAsia"/>
          <w:sz w:val="20"/>
          <w:lang w:eastAsia="zh-CN"/>
        </w:rPr>
        <w:t>卡点</w:t>
      </w:r>
      <w:r>
        <w:rPr>
          <w:sz w:val="20"/>
        </w:rPr>
        <w:t xml:space="preserve"> / </w:t>
      </w:r>
      <w:r>
        <w:rPr>
          <w:rFonts w:ascii="微软雅黑" w:eastAsia="微软雅黑" w:hAnsi="微软雅黑" w:cs="微软雅黑" w:hint="eastAsia"/>
          <w:sz w:val="20"/>
          <w:lang w:eastAsia="zh-CN"/>
        </w:rPr>
        <w:t>下周需要对方提供什么</w:t>
      </w:r>
      <w:r>
        <w:rPr>
          <w:sz w:val="20"/>
        </w:rPr>
        <w:t>"</w:t>
      </w:r>
      <w:r>
        <w:rPr>
          <w:rFonts w:ascii="微软雅黑" w:eastAsia="微软雅黑" w:hAnsi="微软雅黑" w:cs="微软雅黑" w:hint="eastAsia"/>
          <w:sz w:val="20"/>
          <w:lang w:eastAsia="zh-CN"/>
        </w:rPr>
        <w:t>，由负责人完成合入。</w:t>
      </w:r>
    </w:p>
    <w:p>
      <w:pPr>
        <w:pStyle w:val="Heading3"/>
        <w:spacing w:line="300" w:lineRule="auto"/>
      </w:pPr>
      <w:r>
        <w:rPr>
          <w:rFonts w:ascii="微软雅黑" w:hAnsi="微软雅黑" w:eastAsia="微软雅黑" w:cs="微软雅黑" w:hint="eastAsia"/>
          <w:b/>
          <w:color w:val="1565C0"/>
          <w:sz w:val="22"/>
          <w:lang w:eastAsia="zh-CN"/>
        </w:rPr>
        <w:t>7.4 团队短板与补强计划</w:t>
      </w:r>
    </w:p>
    <w:p>
      <w:pPr>
        <w:jc w:val="both"/>
      </w:pPr>
      <w:r>
        <w:rPr>
          <w:rFonts w:ascii="微软雅黑" w:eastAsia="微软雅黑" w:hAnsi="微软雅黑" w:cs="微软雅黑" w:hint="eastAsia"/>
          <w:sz w:val="20"/>
          <w:lang w:eastAsia="zh-CN"/>
        </w:rPr>
        <w:t>需要坦率承认：团队三人均为通信与信息技术方向在读学生，</w:t>
      </w:r>
      <w:r>
        <w:rPr>
          <w:rFonts w:ascii="微软雅黑" w:eastAsia="微软雅黑" w:hAnsi="微软雅黑" w:cs="微软雅黑" w:hint="eastAsia"/>
          <w:b/>
          <w:sz w:val="20"/>
          <w:lang w:eastAsia="zh-CN"/>
        </w:rPr>
        <w:t>缺少商业化与市场运营经验</w:t>
      </w:r>
      <w:r>
        <w:rPr>
          <w:rFonts w:ascii="微软雅黑" w:eastAsia="微软雅黑" w:hAnsi="微软雅黑" w:cs="微软雅黑" w:hint="eastAsia"/>
          <w:sz w:val="20"/>
          <w:lang w:eastAsia="zh-CN"/>
        </w:rPr>
        <w:t>，也缺少面向客户的商务谈判经验。补强方式为：</w:t>
      </w:r>
    </w:p>
    <w:p>
      <w:pPr>
        <w:pStyle w:val="ListNumber"/>
        <w:numPr>
          <w:ilvl w:val="0"/>
          <w:numId w:val="17"/>
        </w:numPr>
        <w:spacing w:after="60"/>
        <w:jc w:val="both"/>
      </w:pPr>
      <w:r>
        <w:rPr>
          <w:rFonts w:ascii="微软雅黑" w:eastAsia="微软雅黑" w:hAnsi="微软雅黑" w:cs="微软雅黑" w:hint="eastAsia"/>
          <w:sz w:val="20"/>
          <w:lang w:eastAsia="zh-CN"/>
        </w:rPr>
        <w:t>依托学校创新创业学院与竞赛配套的创业辅导资源，补齐商业知识；</w:t>
      </w:r>
    </w:p>
    <w:p>
      <w:pPr>
        <w:pStyle w:val="ListNumber"/>
        <w:numPr>
          <w:ilvl w:val="0"/>
          <w:numId w:val="17"/>
        </w:numPr>
        <w:spacing w:after="60"/>
        <w:jc w:val="both"/>
      </w:pPr>
      <w:r>
        <w:rPr>
          <w:rFonts w:ascii="微软雅黑" w:eastAsia="微软雅黑" w:hAnsi="微软雅黑" w:cs="微软雅黑" w:hint="eastAsia"/>
          <w:sz w:val="20"/>
          <w:lang w:eastAsia="zh-CN"/>
        </w:rPr>
        <w:t>引入校内有商务实践经验的成员或顾问参与客户沟通；</w:t>
      </w:r>
    </w:p>
    <w:p>
      <w:pPr>
        <w:pStyle w:val="ListNumber"/>
        <w:numPr>
          <w:ilvl w:val="0"/>
          <w:numId w:val="17"/>
        </w:numPr>
        <w:spacing w:after="60"/>
        <w:jc w:val="both"/>
      </w:pPr>
      <w:r>
        <w:rPr>
          <w:rFonts w:ascii="微软雅黑" w:eastAsia="微软雅黑" w:hAnsi="微软雅黑" w:cs="微软雅黑" w:hint="eastAsia"/>
          <w:sz w:val="20"/>
          <w:lang w:eastAsia="zh-CN"/>
        </w:rPr>
        <w:t>早期推广以</w:t>
      </w:r>
      <w:r>
        <w:rPr>
          <w:sz w:val="20"/>
        </w:rPr>
        <w:t>"</w:t>
      </w:r>
      <w:r>
        <w:rPr>
          <w:rFonts w:ascii="微软雅黑" w:eastAsia="微软雅黑" w:hAnsi="微软雅黑" w:cs="微软雅黑" w:hint="eastAsia"/>
          <w:sz w:val="20"/>
          <w:lang w:eastAsia="zh-CN"/>
        </w:rPr>
        <w:t>技术演示</w:t>
      </w:r>
      <w:r>
        <w:rPr>
          <w:sz w:val="20"/>
        </w:rPr>
        <w:t xml:space="preserve"> + </w:t>
      </w:r>
      <w:r>
        <w:rPr>
          <w:rFonts w:ascii="微软雅黑" w:eastAsia="微软雅黑" w:hAnsi="微软雅黑" w:cs="微软雅黑" w:hint="eastAsia"/>
          <w:sz w:val="20"/>
          <w:lang w:eastAsia="zh-CN"/>
        </w:rPr>
        <w:t>试用</w:t>
      </w:r>
      <w:r>
        <w:rPr>
          <w:sz w:val="20"/>
        </w:rPr>
        <w:t>"</w:t>
      </w:r>
      <w:r>
        <w:rPr>
          <w:rFonts w:ascii="微软雅黑" w:eastAsia="微软雅黑" w:hAnsi="微软雅黑" w:cs="微软雅黑" w:hint="eastAsia"/>
          <w:sz w:val="20"/>
          <w:lang w:eastAsia="zh-CN"/>
        </w:rPr>
        <w:t>为主，把商务环节的复杂度降到最低。</w:t>
      </w:r>
    </w:p>
    <w:p>
      <w:bookmarkStart w:id="19" w:name="_Toc_section_8"/>
      <w:bookmarkStart w:id="7" w:name="section-8"/>
      <w:pPr>
        <w:pStyle w:val="Heading2"/>
        <w:spacing w:line="300" w:lineRule="auto"/>
      </w:pPr>
      <w:bookmarkEnd w:id="7"/>
      <w:r>
        <w:rPr>
          <w:rFonts w:ascii="微软雅黑" w:hAnsi="微软雅黑" w:eastAsia="微软雅黑" w:cs="微软雅黑" w:hint="eastAsia"/>
          <w:b/>
          <w:color w:val="1A237E"/>
          <w:sz w:val="26"/>
          <w:lang w:eastAsia="zh-CN"/>
        </w:rPr>
        <w:t>八、财务预测与分析</w:t>
      </w:r>
      <w:bookmarkEnd w:id="19"/>
    </w:p>
    <w:p>
      <w:pPr>
        <w:jc w:val="both"/>
      </w:pPr>
      <w:r>
        <w:rPr>
          <w:rFonts w:ascii="微软雅黑" w:eastAsia="微软雅黑" w:hAnsi="微软雅黑" w:cs="微软雅黑" w:hint="eastAsia"/>
          <w:sz w:val="20"/>
          <w:lang w:eastAsia="zh-CN"/>
        </w:rPr>
        <w:t>本章给出关键假设、三年收入与成本预测、盈亏平衡点、情景分析与资金使用计划。</w:t>
      </w:r>
    </w:p>
    <w:p>
      <w:pPr>
        <w:pStyle w:val="Heading3"/>
        <w:spacing w:line="300" w:lineRule="auto"/>
      </w:pPr>
      <w:r>
        <w:rPr>
          <w:rFonts w:ascii="微软雅黑" w:hAnsi="微软雅黑" w:eastAsia="微软雅黑" w:cs="微软雅黑" w:hint="eastAsia"/>
          <w:b/>
          <w:color w:val="1565C0"/>
          <w:sz w:val="22"/>
          <w:lang w:eastAsia="zh-CN"/>
        </w:rPr>
        <w:t>8.1 关键假设</w:t>
      </w:r>
    </w:p>
    <w:p>
      <w:pPr>
        <w:jc w:val="both"/>
      </w:pPr>
      <w:r>
        <w:rPr>
          <w:rFonts w:ascii="微软雅黑" w:eastAsia="微软雅黑" w:hAnsi="微软雅黑" w:cs="微软雅黑" w:hint="eastAsia"/>
          <w:sz w:val="20"/>
          <w:lang w:eastAsia="zh-CN"/>
        </w:rPr>
        <w:t>全部财务预测建立在以下假设之上，假设均可独立调整：</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编号</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假设</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取值</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依据与待验证程度</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A1</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单位场站首期监管充电车位</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80 </w:t>
            </w:r>
            <w:r>
              <w:rPr>
                <w:color w:val="212121"/>
                <w:sz w:val="16"/>
              </w:rPr>
              <w:t xml:space="preserve"> </w:t>
            </w:r>
            <w:r>
              <w:rPr>
                <w:color w:val="212121"/>
                <w:sz w:val="16"/>
              </w:rPr>
              <w:t>个</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w:t>
            </w:r>
            <w:r>
              <w:rPr>
                <w:color w:val="212121"/>
                <w:sz w:val="16"/>
              </w:rPr>
              <w:t xml:space="preserve"> </w:t>
            </w:r>
            <w:r>
              <w:rPr>
                <w:color w:val="212121"/>
                <w:sz w:val="16"/>
              </w:rPr>
              <w:t xml:space="preserve"> JS/T 302 </w:t>
            </w:r>
            <w:r>
              <w:rPr>
                <w:color w:val="212121"/>
                <w:sz w:val="16"/>
              </w:rPr>
              <w:t xml:space="preserve"> </w:t>
            </w:r>
            <w:r>
              <w:rPr>
                <w:color w:val="212121"/>
                <w:sz w:val="16"/>
              </w:rPr>
              <w:t>配建比例与中等校园核心区域估算，需现场核实</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平台部署费</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30,000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场站</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w:t>
            </w:r>
            <w:r>
              <w:rPr>
                <w:color w:val="212121"/>
                <w:sz w:val="16"/>
              </w:rPr>
              <w:t xml:space="preserve"> </w:t>
            </w:r>
            <w:r>
              <w:rPr>
                <w:color w:val="212121"/>
                <w:sz w:val="16"/>
              </w:rPr>
              <w:t xml:space="preserve"> 4–6 </w:t>
            </w:r>
            <w:r>
              <w:rPr>
                <w:color w:val="212121"/>
                <w:sz w:val="16"/>
              </w:rPr>
              <w:t xml:space="preserve"> </w:t>
            </w:r>
            <w:r>
              <w:rPr>
                <w:color w:val="212121"/>
                <w:sz w:val="16"/>
              </w:rPr>
              <w:t>人日工程量折算，</w:t>
            </w:r>
            <w:r>
              <w:rPr>
                <w:color w:val="212121"/>
                <w:sz w:val="16"/>
              </w:rPr>
              <w:t xml:space="preserve"> </w:t>
            </w:r>
            <w:r>
              <w:rPr>
                <w:b/>
                <w:color w:val="212121"/>
                <w:sz w:val="16"/>
              </w:rPr>
              <w:t>尚未经客户验证</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A3</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点位年度授权费</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车位</w:t>
            </w:r>
            <w:r>
              <w:rPr>
                <w:color w:val="212121"/>
                <w:sz w:val="16"/>
              </w:rPr>
              <w:t xml:space="preserve"> </w:t>
            </w:r>
            <w:r>
              <w:rPr>
                <w:color w:val="212121"/>
                <w:sz w:val="16"/>
              </w:rPr>
              <w:t>·</w:t>
            </w:r>
            <w:r>
              <w:rPr>
                <w:color w:val="212121"/>
                <w:sz w:val="16"/>
              </w:rPr>
              <w:t xml:space="preserve"> </w:t>
            </w:r>
            <w:r>
              <w:rPr>
                <w:color w:val="212121"/>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按低于替代巡查成本定价， </w:t>
            </w:r>
            <w:r>
              <w:rPr>
                <w:b/>
                <w:color w:val="212121"/>
                <w:sz w:val="16"/>
              </w:rPr>
              <w:t>尚未经客户验证</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单场站交付成本</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15,000 </w:t>
            </w:r>
            <w:r>
              <w:rPr>
                <w:color w:val="212121"/>
                <w:sz w:val="16"/>
              </w:rPr>
              <w:t xml:space="preserve"> </w:t>
            </w:r>
            <w:r>
              <w:rPr>
                <w:color w:val="212121"/>
                <w:sz w:val="16"/>
              </w:rPr>
              <w:t>元（首年）</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人力计价</w:t>
            </w:r>
            <w:r>
              <w:rPr>
                <w:color w:val="212121"/>
                <w:sz w:val="16"/>
              </w:rPr>
              <w:t xml:space="preserve"> </w:t>
            </w:r>
            <w:r>
              <w:rPr>
                <w:color w:val="212121"/>
                <w:sz w:val="16"/>
              </w:rPr>
              <w:t xml:space="preserve"> 1,500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人日</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A5</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续费年成本</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1,700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场站</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云资源</w:t>
            </w:r>
            <w:r>
              <w:rPr>
                <w:color w:val="212121"/>
                <w:sz w:val="16"/>
              </w:rPr>
              <w:t xml:space="preserve"> </w:t>
            </w:r>
            <w:r>
              <w:rPr>
                <w:color w:val="212121"/>
                <w:sz w:val="16"/>
              </w:rPr>
              <w:t xml:space="preserve"> 1,200 + </w:t>
            </w:r>
            <w:r>
              <w:rPr>
                <w:color w:val="212121"/>
                <w:sz w:val="16"/>
              </w:rPr>
              <w:t xml:space="preserve"> </w:t>
            </w:r>
            <w:r>
              <w:rPr>
                <w:color w:val="212121"/>
                <w:sz w:val="16"/>
              </w:rPr>
              <w:t>短信</w:t>
            </w:r>
            <w:r>
              <w:rPr>
                <w:color w:val="212121"/>
                <w:sz w:val="16"/>
              </w:rPr>
              <w:t xml:space="preserve"> </w:t>
            </w:r>
            <w:r>
              <w:rPr>
                <w:color w:val="212121"/>
                <w:sz w:val="16"/>
              </w:rPr>
              <w:t xml:space="preserve"> 500</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短信成本</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0.05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阿里云国内通用短信套餐包现行价</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检测模型商业授权</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72,000 </w:t>
            </w:r>
            <w:r>
              <w:rPr>
                <w:color w:val="212121"/>
                <w:sz w:val="16"/>
              </w:rPr>
              <w:t xml:space="preserve"> </w:t>
            </w:r>
            <w:r>
              <w:rPr>
                <w:color w:val="212121"/>
                <w:sz w:val="16"/>
              </w:rPr>
              <w:t>元</w:t>
            </w:r>
            <w:r>
              <w:rPr>
                <w:color w:val="212121"/>
                <w:sz w:val="16"/>
              </w:rPr>
              <w:t xml:space="preserve"> </w:t>
            </w:r>
            <w:r>
              <w:rPr>
                <w:color w:val="212121"/>
                <w:sz w:val="16"/>
              </w:rPr>
              <w:t xml:space="preserve"> / </w:t>
            </w:r>
            <w:r>
              <w:rPr>
                <w:color w:val="212121"/>
                <w:sz w:val="16"/>
              </w:rPr>
              <w:t xml:space="preserve"> </w:t>
            </w:r>
            <w:r>
              <w:rPr>
                <w:color w:val="212121"/>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第三方资料给出的量级参考， </w:t>
            </w:r>
            <w:r>
              <w:rPr>
                <w:b/>
                <w:color w:val="212121"/>
                <w:sz w:val="16"/>
              </w:rPr>
              <w:t>必须向 Ultralytics 询价确认</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A8</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2 </w:t>
            </w:r>
            <w:r>
              <w:rPr>
                <w:color w:val="212121"/>
                <w:sz w:val="16"/>
              </w:rPr>
              <w:t xml:space="preserve"> </w:t>
            </w:r>
            <w:r>
              <w:rPr>
                <w:color w:val="212121"/>
                <w:sz w:val="16"/>
              </w:rPr>
              <w:t>年起全职人力</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12 </w:t>
            </w:r>
            <w:r>
              <w:rPr>
                <w:color w:val="212121"/>
                <w:sz w:val="16"/>
              </w:rPr>
              <w:t xml:space="preserve"> </w:t>
            </w:r>
            <w:r>
              <w:rPr>
                <w:color w:val="212121"/>
                <w:sz w:val="16"/>
              </w:rPr>
              <w:t>万元</w:t>
            </w:r>
            <w:r>
              <w:rPr>
                <w:color w:val="212121"/>
                <w:sz w:val="16"/>
              </w:rPr>
              <w:t xml:space="preserve"> </w:t>
            </w:r>
            <w:r>
              <w:rPr>
                <w:color w:val="212121"/>
                <w:sz w:val="16"/>
              </w:rPr>
              <w:t>/</w:t>
            </w:r>
            <w:r>
              <w:rPr>
                <w:color w:val="212121"/>
                <w:sz w:val="16"/>
              </w:rPr>
              <w:t xml:space="preserve"> </w:t>
            </w:r>
            <w:r>
              <w:rPr>
                <w:color w:val="212121"/>
                <w:sz w:val="16"/>
              </w:rPr>
              <w:t>人</w:t>
            </w:r>
            <w:r>
              <w:rPr>
                <w:color w:val="212121"/>
                <w:sz w:val="16"/>
              </w:rPr>
              <w:t xml:space="preserve"> </w:t>
            </w:r>
            <w:r>
              <w:rPr>
                <w:color w:val="212121"/>
                <w:sz w:val="16"/>
              </w:rPr>
              <w:t>·</w:t>
            </w:r>
            <w:r>
              <w:rPr>
                <w:color w:val="212121"/>
                <w:sz w:val="16"/>
              </w:rPr>
              <w:t xml:space="preserve"> </w:t>
            </w:r>
            <w:r>
              <w:rPr>
                <w:color w:val="212121"/>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按应届生实施岗位市场水平估算</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A9</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1 </w:t>
            </w:r>
            <w:r>
              <w:rPr>
                <w:color w:val="212121"/>
                <w:sz w:val="16"/>
              </w:rPr>
              <w:t xml:space="preserve"> </w:t>
            </w:r>
            <w:r>
              <w:rPr>
                <w:color w:val="212121"/>
                <w:sz w:val="16"/>
              </w:rPr>
              <w:t>年人力成本</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0 </w:t>
            </w:r>
            <w:r>
              <w:rPr>
                <w:color w:val="212121"/>
                <w:sz w:val="16"/>
              </w:rPr>
              <w:t xml:space="preserve"> </w:t>
            </w:r>
            <w:r>
              <w:rPr>
                <w:color w:val="212121"/>
                <w:sz w:val="16"/>
              </w:rPr>
              <w:t>元</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团队为学生身份，第</w:t>
            </w:r>
            <w:r>
              <w:rPr>
                <w:color w:val="212121"/>
                <w:sz w:val="16"/>
              </w:rPr>
              <w:t xml:space="preserve"> </w:t>
            </w:r>
            <w:r>
              <w:rPr>
                <w:color w:val="212121"/>
                <w:sz w:val="16"/>
              </w:rPr>
              <w:t xml:space="preserve"> 1 </w:t>
            </w:r>
            <w:r>
              <w:rPr>
                <w:color w:val="212121"/>
                <w:sz w:val="16"/>
              </w:rPr>
              <w:t xml:space="preserve"> </w:t>
            </w:r>
            <w:r>
              <w:rPr>
                <w:color w:val="212121"/>
                <w:sz w:val="16"/>
              </w:rPr>
              <w:t>年不领薪</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A10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三年新增场站数</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 / 12 / 25</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推广路径的保守</w:t>
            </w:r>
            <w:r>
              <w:rPr>
                <w:color w:val="212121"/>
                <w:sz w:val="16"/>
              </w:rPr>
              <w:t xml:space="preserve"> </w:t>
            </w:r>
            <w:r>
              <w:rPr>
                <w:color w:val="212121"/>
                <w:sz w:val="16"/>
              </w:rPr>
              <w:t>—</w:t>
            </w:r>
            <w:r>
              <w:rPr>
                <w:color w:val="212121"/>
                <w:sz w:val="16"/>
              </w:rPr>
              <w:t xml:space="preserve"> </w:t>
            </w:r>
            <w:r>
              <w:rPr>
                <w:color w:val="212121"/>
                <w:sz w:val="16"/>
              </w:rPr>
              <w:t>基准估计，需以实际签约校准</w:t>
            </w:r>
          </w:p>
        </w:tc>
      </w:tr>
    </w:tbl>
    <w:p>
      <w:pPr>
        <w:spacing w:before="264" w:after="264"/>
        <w:jc w:val="both"/>
        <w:pBdr>
          <w:left w:val="single" w:sz="24" w:space="0" w:color="1565C0"/>
        </w:pBdr>
        <w:shd w:val="clear" w:color="auto" w:fill="EAF1FB"/>
      </w:pPr>
      <w:r>
        <w:rPr>
          <w:rFonts w:ascii="微软雅黑" w:eastAsia="微软雅黑" w:hAnsi="微软雅黑" w:cs="微软雅黑" w:hint="eastAsia"/>
          <w:sz w:val="20"/>
          <w:lang w:eastAsia="zh-CN"/>
        </w:rPr>
        <w:t>说明：本预测不包含硬件销售（充电桩本体、摄像机采购）收入</w:t>
      </w:r>
      <w:r>
        <w:rPr>
          <w:sz w:val="20"/>
        </w:rPr>
        <w:t>——</w:t>
      </w:r>
      <w:r>
        <w:rPr>
          <w:rFonts w:ascii="微软雅黑" w:eastAsia="微软雅黑" w:hAnsi="微软雅黑" w:cs="微软雅黑" w:hint="eastAsia"/>
          <w:sz w:val="20"/>
          <w:lang w:eastAsia="zh-CN"/>
        </w:rPr>
        <w:t>项目定位为软件与服务交付，客户既有硬件不重复计入。若客户需要配套硬件，属于代采性质，不计入毛利。</w:t>
      </w:r>
    </w:p>
    <w:p>
      <w:pPr>
        <w:pStyle w:val="Heading3"/>
        <w:spacing w:line="300" w:lineRule="auto"/>
      </w:pPr>
      <w:r>
        <w:rPr>
          <w:rFonts w:ascii="微软雅黑" w:hAnsi="微软雅黑" w:eastAsia="微软雅黑" w:cs="微软雅黑" w:hint="eastAsia"/>
          <w:b/>
          <w:color w:val="1565C0"/>
          <w:sz w:val="22"/>
          <w:lang w:eastAsia="zh-CN"/>
        </w:rPr>
        <w:t>8.2 三年收入预测（基准情景）</w:t>
      </w:r>
    </w:p>
    <w:p>
      <w:pPr>
        <w:jc w:val="both"/>
      </w:pPr>
      <w:r>
        <w:rPr>
          <w:rFonts w:ascii="微软雅黑" w:eastAsia="微软雅黑" w:hAnsi="微软雅黑" w:cs="微软雅黑" w:hint="eastAsia"/>
          <w:sz w:val="20"/>
          <w:lang w:eastAsia="zh-CN"/>
        </w:rPr>
        <w:t>单位：万元</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1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2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当年新增场站（个）</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25</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期末存量场站（个）</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41</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一次性部署费</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12.0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36.0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75.0</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当年新增点位年费</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19.2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40.0</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存量场站续费</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25.6</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收入合计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18.4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61.6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140.6</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其中经常性收入占比</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34.8%</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41.6%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46.7%</w:t>
            </w:r>
          </w:p>
        </w:tc>
      </w:tr>
    </w:tbl>
    <w:p>
      <w:pPr>
        <w:pStyle w:val="Heading3"/>
        <w:spacing w:line="300" w:lineRule="auto"/>
      </w:pPr>
      <w:r>
        <w:rPr>
          <w:rFonts w:ascii="微软雅黑" w:hAnsi="微软雅黑" w:eastAsia="微软雅黑" w:cs="微软雅黑" w:hint="eastAsia"/>
          <w:b/>
          <w:color w:val="1565C0"/>
          <w:sz w:val="22"/>
          <w:lang w:eastAsia="zh-CN"/>
        </w:rPr>
        <w:t>8.3 成本与费用预测</w:t>
      </w:r>
    </w:p>
    <w:p>
      <w:pPr>
        <w:jc w:val="both"/>
      </w:pPr>
      <w:r>
        <w:rPr>
          <w:rFonts w:ascii="微软雅黑" w:eastAsia="微软雅黑" w:hAnsi="微软雅黑" w:cs="微软雅黑" w:hint="eastAsia"/>
          <w:sz w:val="20"/>
          <w:lang w:eastAsia="zh-CN"/>
        </w:rPr>
        <w:t>单位：万元</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1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2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交付与变动成本</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18.7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40.2</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人力费用</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24.0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60.0</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软件许可与合规</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7.2</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7.2</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云基础设施与市场推广</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5.0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12.0</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成本费用合计</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7.0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54.9</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119.4</w:t>
            </w:r>
          </w:p>
        </w:tc>
      </w:tr>
    </w:tbl>
    <w:p>
      <w:pPr>
        <w:jc w:val="both"/>
      </w:pPr>
      <w:r>
        <w:rPr>
          <w:rFonts w:ascii="微软雅黑" w:eastAsia="微软雅黑" w:hAnsi="微软雅黑" w:cs="微软雅黑" w:hint="eastAsia"/>
          <w:sz w:val="20"/>
          <w:lang w:eastAsia="zh-CN"/>
        </w:rPr>
        <w:t>第</w:t>
      </w:r>
      <w:r>
        <w:rPr>
          <w:sz w:val="20"/>
        </w:rPr>
        <w:t xml:space="preserve"> 1 </w:t>
      </w:r>
      <w:r>
        <w:rPr>
          <w:rFonts w:ascii="微软雅黑" w:eastAsia="微软雅黑" w:hAnsi="微软雅黑" w:cs="微软雅黑" w:hint="eastAsia"/>
          <w:sz w:val="20"/>
          <w:lang w:eastAsia="zh-CN"/>
        </w:rPr>
        <w:t>年不计软件许可，是因为校内研发与竞赛阶段属非商业原型，</w:t>
      </w:r>
      <w:r>
        <w:rPr>
          <w:sz w:val="20"/>
        </w:rPr>
        <w:t xml:space="preserve">AGPL-3.0 </w:t>
      </w:r>
      <w:r>
        <w:rPr>
          <w:rFonts w:ascii="微软雅黑" w:eastAsia="微软雅黑" w:hAnsi="微软雅黑" w:cs="微软雅黑" w:hint="eastAsia"/>
          <w:sz w:val="20"/>
          <w:lang w:eastAsia="zh-CN"/>
        </w:rPr>
        <w:t>允许自由使用；对外商业交付前才需完成合规改造。</w:t>
      </w:r>
    </w:p>
    <w:p>
      <w:pPr>
        <w:pStyle w:val="Heading3"/>
        <w:spacing w:line="300" w:lineRule="auto"/>
      </w:pPr>
      <w:r>
        <w:rPr>
          <w:rFonts w:ascii="微软雅黑" w:hAnsi="微软雅黑" w:eastAsia="微软雅黑" w:cs="微软雅黑" w:hint="eastAsia"/>
          <w:b/>
          <w:color w:val="1565C0"/>
          <w:sz w:val="22"/>
          <w:lang w:eastAsia="zh-CN"/>
        </w:rPr>
        <w:t>8.4 利润预测</w:t>
      </w:r>
    </w:p>
    <w:p>
      <w:pPr>
        <w:jc w:val="both"/>
      </w:pPr>
      <w:r>
        <w:rPr>
          <w:rFonts w:ascii="微软雅黑" w:eastAsia="微软雅黑" w:hAnsi="微软雅黑" w:cs="微软雅黑" w:hint="eastAsia"/>
          <w:sz w:val="20"/>
          <w:lang w:eastAsia="zh-CN"/>
        </w:rPr>
        <w:t>单位：万元</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1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2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c>
          <w:tcPr>
            <w:tcW w:type="dxa" w:w="216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收入</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18.4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61.6</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140.6</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成本费用</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7.0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54.9</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119.4</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利润</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11.4</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6.7</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21.2</w:t>
            </w:r>
          </w:p>
        </w:tc>
      </w:tr>
      <w:tr>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净利率</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62.0%</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10.9%</w:t>
            </w:r>
          </w:p>
        </w:tc>
        <w:tc>
          <w:tcPr>
            <w:tcW w:type="dxa" w:w="216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15.1%</w:t>
            </w:r>
          </w:p>
        </w:tc>
      </w:tr>
    </w:tbl>
    <w:p>
      <w:pPr>
        <w:jc w:val="both"/>
      </w:pPr>
      <w:r>
        <w:rPr>
          <w:rFonts w:ascii="微软雅黑" w:eastAsia="微软雅黑" w:hAnsi="微软雅黑" w:cs="微软雅黑" w:hint="eastAsia"/>
          <w:sz w:val="20"/>
          <w:lang w:eastAsia="zh-CN"/>
        </w:rPr>
        <w:t>第</w:t>
      </w:r>
      <w:r>
        <w:rPr>
          <w:sz w:val="20"/>
        </w:rPr>
        <w:t xml:space="preserve"> 2 </w:t>
      </w:r>
      <w:r>
        <w:rPr>
          <w:rFonts w:ascii="微软雅黑" w:eastAsia="微软雅黑" w:hAnsi="微软雅黑" w:cs="微软雅黑" w:hint="eastAsia"/>
          <w:sz w:val="20"/>
          <w:lang w:eastAsia="zh-CN"/>
        </w:rPr>
        <w:t>年利润低于第</w:t>
      </w:r>
      <w:r>
        <w:rPr>
          <w:sz w:val="20"/>
        </w:rPr>
        <w:t xml:space="preserve"> 1 </w:t>
      </w:r>
      <w:r>
        <w:rPr>
          <w:rFonts w:ascii="微软雅黑" w:eastAsia="微软雅黑" w:hAnsi="微软雅黑" w:cs="微软雅黑" w:hint="eastAsia"/>
          <w:sz w:val="20"/>
          <w:lang w:eastAsia="zh-CN"/>
        </w:rPr>
        <w:t>年，原因是全职人力与商业许可费用在第</w:t>
      </w:r>
      <w:r>
        <w:rPr>
          <w:sz w:val="20"/>
        </w:rPr>
        <w:t xml:space="preserve"> 2 </w:t>
      </w:r>
      <w:r>
        <w:rPr>
          <w:rFonts w:ascii="微软雅黑" w:eastAsia="微软雅黑" w:hAnsi="微软雅黑" w:cs="微软雅黑" w:hint="eastAsia"/>
          <w:sz w:val="20"/>
          <w:lang w:eastAsia="zh-CN"/>
        </w:rPr>
        <w:t>年集中投入，而当年新签场站的收入规模尚未覆盖这一台阶。第</w:t>
      </w:r>
      <w:r>
        <w:rPr>
          <w:sz w:val="20"/>
        </w:rPr>
        <w:t xml:space="preserve"> 3 </w:t>
      </w:r>
      <w:r>
        <w:rPr>
          <w:rFonts w:ascii="微软雅黑" w:eastAsia="微软雅黑" w:hAnsi="微软雅黑" w:cs="微软雅黑" w:hint="eastAsia"/>
          <w:sz w:val="20"/>
          <w:lang w:eastAsia="zh-CN"/>
        </w:rPr>
        <w:t>年随着存量场站续费积累（</w:t>
      </w:r>
      <w:r>
        <w:rPr>
          <w:sz w:val="20"/>
        </w:rPr>
        <w:t xml:space="preserve">16 </w:t>
      </w:r>
      <w:r>
        <w:rPr>
          <w:rFonts w:ascii="微软雅黑" w:eastAsia="微软雅黑" w:hAnsi="微软雅黑" w:cs="微软雅黑" w:hint="eastAsia"/>
          <w:sz w:val="20"/>
          <w:lang w:eastAsia="zh-CN"/>
        </w:rPr>
        <w:t>个场站贡献</w:t>
      </w:r>
      <w:r>
        <w:rPr>
          <w:sz w:val="20"/>
        </w:rPr>
        <w:t xml:space="preserve"> 25.6 </w:t>
      </w:r>
      <w:r>
        <w:rPr>
          <w:rFonts w:ascii="微软雅黑" w:eastAsia="微软雅黑" w:hAnsi="微软雅黑" w:cs="微软雅黑" w:hint="eastAsia"/>
          <w:sz w:val="20"/>
          <w:lang w:eastAsia="zh-CN"/>
        </w:rPr>
        <w:t>万元续费收入），利润回升。</w:t>
      </w:r>
      <w:r>
        <w:rPr>
          <w:rFonts w:ascii="微软雅黑" w:eastAsia="微软雅黑" w:hAnsi="微软雅黑" w:cs="微软雅黑" w:hint="eastAsia"/>
          <w:b/>
          <w:sz w:val="20"/>
          <w:lang w:eastAsia="zh-CN"/>
        </w:rPr>
        <w:t>这一"中间凹、后期起"的曲线是项目制转服务制的典型形态，并非经营恶化。</w:t>
      </w:r>
    </w:p>
    <w:p>
      <w:pPr>
        <w:pStyle w:val="Heading3"/>
        <w:spacing w:line="300" w:lineRule="auto"/>
      </w:pPr>
      <w:r>
        <w:rPr>
          <w:rFonts w:ascii="微软雅黑" w:hAnsi="微软雅黑" w:eastAsia="微软雅黑" w:cs="微软雅黑" w:hint="eastAsia"/>
          <w:b/>
          <w:color w:val="1565C0"/>
          <w:sz w:val="22"/>
          <w:lang w:eastAsia="zh-CN"/>
        </w:rPr>
        <w:t>8.5 盈亏平衡分析</w:t>
      </w:r>
    </w:p>
    <w:p>
      <w:pPr>
        <w:jc w:val="both"/>
      </w:pPr>
      <w:r>
        <w:rPr>
          <w:rFonts w:ascii="微软雅黑" w:eastAsia="微软雅黑" w:hAnsi="微软雅黑" w:cs="微软雅黑" w:hint="eastAsia"/>
          <w:sz w:val="20"/>
          <w:lang w:eastAsia="zh-CN"/>
        </w:rPr>
        <w:t>以第</w:t>
      </w:r>
      <w:r>
        <w:rPr>
          <w:sz w:val="20"/>
        </w:rPr>
        <w:t xml:space="preserve"> 3 </w:t>
      </w:r>
      <w:r>
        <w:rPr>
          <w:rFonts w:ascii="微软雅黑" w:eastAsia="微软雅黑" w:hAnsi="微软雅黑" w:cs="微软雅黑" w:hint="eastAsia"/>
          <w:sz w:val="20"/>
          <w:lang w:eastAsia="zh-CN"/>
        </w:rPr>
        <w:t>年为例：</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项目</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金额（万元）</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说明</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固定性费用</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79.2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人力</w:t>
            </w:r>
            <w:r>
              <w:rPr>
                <w:color w:val="212121"/>
                <w:sz w:val="16"/>
              </w:rPr>
              <w:t xml:space="preserve"> </w:t>
            </w:r>
            <w:r>
              <w:rPr>
                <w:color w:val="212121"/>
                <w:sz w:val="16"/>
              </w:rPr>
              <w:t xml:space="preserve"> 60.0 + </w:t>
            </w:r>
            <w:r>
              <w:rPr>
                <w:color w:val="212121"/>
                <w:sz w:val="16"/>
              </w:rPr>
              <w:t xml:space="preserve"> </w:t>
            </w:r>
            <w:r>
              <w:rPr>
                <w:color w:val="212121"/>
                <w:sz w:val="16"/>
              </w:rPr>
              <w:t>许可</w:t>
            </w:r>
            <w:r>
              <w:rPr>
                <w:color w:val="212121"/>
                <w:sz w:val="16"/>
              </w:rPr>
              <w:t xml:space="preserve"> </w:t>
            </w:r>
            <w:r>
              <w:rPr>
                <w:color w:val="212121"/>
                <w:sz w:val="16"/>
              </w:rPr>
              <w:t xml:space="preserve"> 7.2 + </w:t>
            </w:r>
            <w:r>
              <w:rPr>
                <w:color w:val="212121"/>
                <w:sz w:val="16"/>
              </w:rPr>
              <w:t xml:space="preserve"> </w:t>
            </w:r>
            <w:r>
              <w:rPr>
                <w:color w:val="212121"/>
                <w:sz w:val="16"/>
              </w:rPr>
              <w:t>推广</w:t>
            </w:r>
            <w:r>
              <w:rPr>
                <w:color w:val="212121"/>
                <w:sz w:val="16"/>
              </w:rPr>
              <w:t xml:space="preserve"> </w:t>
            </w:r>
            <w:r>
              <w:rPr>
                <w:color w:val="212121"/>
                <w:sz w:val="16"/>
              </w:rPr>
              <w:t xml:space="preserve"> 12.0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存量</w:t>
            </w:r>
            <w:r>
              <w:rPr>
                <w:color w:val="212121"/>
                <w:sz w:val="16"/>
              </w:rPr>
              <w:t xml:space="preserve"> </w:t>
            </w:r>
            <w:r>
              <w:rPr>
                <w:color w:val="212121"/>
                <w:sz w:val="16"/>
              </w:rPr>
              <w:t xml:space="preserve"> 16 </w:t>
            </w:r>
            <w:r>
              <w:rPr>
                <w:color w:val="212121"/>
                <w:sz w:val="16"/>
              </w:rPr>
              <w:t xml:space="preserve"> </w:t>
            </w:r>
            <w:r>
              <w:rPr>
                <w:color w:val="212121"/>
                <w:sz w:val="16"/>
              </w:rPr>
              <w:t>场站续费毛利</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22.9</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16 × 1.43</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固定费用缺口</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56.3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需由当年新签场站填补</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单场站首年毛利</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3.23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4.6 − 1.37</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覆盖缺口所需新签场站</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17.4 </w:t>
            </w:r>
            <w:r>
              <w:rPr>
                <w:color w:val="212121"/>
                <w:sz w:val="16"/>
              </w:rPr>
              <w:t xml:space="preserve"> </w:t>
            </w:r>
            <w:r>
              <w:rPr>
                <w:color w:val="212121"/>
                <w:sz w:val="16"/>
              </w:rPr>
              <w:t>个</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56.3 ÷ 3.23</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计划新签场站</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25 </w:t>
            </w:r>
            <w:r>
              <w:rPr>
                <w:color w:val="212121"/>
                <w:sz w:val="16"/>
              </w:rPr>
              <w:t xml:space="preserve"> </w:t>
            </w:r>
            <w:r>
              <w:rPr>
                <w:color w:val="212121"/>
                <w:sz w:val="16"/>
              </w:rPr>
              <w:t>个</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安全边际约</w:t>
            </w:r>
            <w:r>
              <w:rPr>
                <w:color w:val="212121"/>
                <w:sz w:val="16"/>
              </w:rPr>
              <w:t xml:space="preserve"> </w:t>
            </w:r>
            <w:r>
              <w:rPr>
                <w:color w:val="212121"/>
                <w:sz w:val="16"/>
              </w:rPr>
              <w:t xml:space="preserve"> 30%</w:t>
            </w:r>
          </w:p>
        </w:tc>
      </w:tr>
    </w:tbl>
    <w:p>
      <w:pPr>
        <w:jc w:val="both"/>
      </w:pPr>
      <w:r>
        <w:rPr>
          <w:rFonts w:ascii="微软雅黑" w:eastAsia="微软雅黑" w:hAnsi="微软雅黑" w:cs="微软雅黑" w:hint="eastAsia"/>
          <w:sz w:val="20"/>
          <w:lang w:eastAsia="zh-CN"/>
        </w:rPr>
        <w:t>结论：第</w:t>
      </w:r>
      <w:r>
        <w:rPr>
          <w:sz w:val="20"/>
        </w:rPr>
        <w:t xml:space="preserve"> 3 </w:t>
      </w:r>
      <w:r>
        <w:rPr>
          <w:rFonts w:ascii="微软雅黑" w:eastAsia="微软雅黑" w:hAnsi="微软雅黑" w:cs="微软雅黑" w:hint="eastAsia"/>
          <w:sz w:val="20"/>
          <w:lang w:eastAsia="zh-CN"/>
        </w:rPr>
        <w:t>年的盈亏平衡点约为当年新签</w:t>
      </w:r>
      <w:r>
        <w:rPr>
          <w:sz w:val="20"/>
        </w:rPr>
        <w:t xml:space="preserve"> </w:t>
      </w:r>
      <w:r>
        <w:rPr>
          <w:rFonts w:ascii="微软雅黑" w:eastAsia="微软雅黑" w:hAnsi="微软雅黑" w:cs="微软雅黑" w:hint="eastAsia"/>
          <w:b/>
          <w:sz w:val="20"/>
          <w:lang w:eastAsia="zh-CN"/>
        </w:rPr>
        <w:t>17–18 个场站</w:t>
      </w:r>
      <w:r>
        <w:rPr>
          <w:rFonts w:ascii="微软雅黑" w:eastAsia="微软雅黑" w:hAnsi="微软雅黑" w:cs="微软雅黑" w:hint="eastAsia"/>
          <w:sz w:val="20"/>
          <w:lang w:eastAsia="zh-CN"/>
        </w:rPr>
        <w:t>。计划目标</w:t>
      </w:r>
      <w:r>
        <w:rPr>
          <w:sz w:val="20"/>
        </w:rPr>
        <w:t xml:space="preserve"> 25 </w:t>
      </w:r>
      <w:r>
        <w:rPr>
          <w:rFonts w:ascii="微软雅黑" w:eastAsia="微软雅黑" w:hAnsi="微软雅黑" w:cs="微软雅黑" w:hint="eastAsia"/>
          <w:sz w:val="20"/>
          <w:lang w:eastAsia="zh-CN"/>
        </w:rPr>
        <w:t>个，留有约</w:t>
      </w:r>
      <w:r>
        <w:rPr>
          <w:sz w:val="20"/>
        </w:rPr>
        <w:t xml:space="preserve"> 30% </w:t>
      </w:r>
      <w:r>
        <w:rPr>
          <w:rFonts w:ascii="微软雅黑" w:eastAsia="微软雅黑" w:hAnsi="微软雅黑" w:cs="微软雅黑" w:hint="eastAsia"/>
          <w:sz w:val="20"/>
          <w:lang w:eastAsia="zh-CN"/>
        </w:rPr>
        <w:t>的安全边际；若新签降至</w:t>
      </w:r>
      <w:r>
        <w:rPr>
          <w:sz w:val="20"/>
        </w:rPr>
        <w:t xml:space="preserve"> 17 </w:t>
      </w:r>
      <w:r>
        <w:rPr>
          <w:rFonts w:ascii="微软雅黑" w:eastAsia="微软雅黑" w:hAnsi="微软雅黑" w:cs="微软雅黑" w:hint="eastAsia"/>
          <w:sz w:val="20"/>
          <w:lang w:eastAsia="zh-CN"/>
        </w:rPr>
        <w:t>个以下，第</w:t>
      </w:r>
      <w:r>
        <w:rPr>
          <w:sz w:val="20"/>
        </w:rPr>
        <w:t xml:space="preserve"> 3 </w:t>
      </w:r>
      <w:r>
        <w:rPr>
          <w:rFonts w:ascii="微软雅黑" w:eastAsia="微软雅黑" w:hAnsi="微软雅黑" w:cs="微软雅黑" w:hint="eastAsia"/>
          <w:sz w:val="20"/>
          <w:lang w:eastAsia="zh-CN"/>
        </w:rPr>
        <w:t>年将转为微亏。</w:t>
      </w:r>
    </w:p>
    <w:p>
      <w:pPr>
        <w:pStyle w:val="Heading3"/>
        <w:spacing w:line="300" w:lineRule="auto"/>
      </w:pPr>
      <w:r>
        <w:rPr>
          <w:rFonts w:ascii="微软雅黑" w:hAnsi="微软雅黑" w:eastAsia="微软雅黑" w:cs="微软雅黑" w:hint="eastAsia"/>
          <w:b/>
          <w:color w:val="1565C0"/>
          <w:sz w:val="22"/>
          <w:lang w:eastAsia="zh-CN"/>
        </w:rPr>
        <w:t>8.6 情景分析</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情景</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年新增场站</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年存量</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年收入（万元）</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第</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 xml:space="preserve"> 3 </w:t>
            </w:r>
            <w:r>
              <w:rPr>
                <w:rFonts w:ascii="微软雅黑" w:hAnsi="微软雅黑" w:eastAsia="微软雅黑" w:hint="eastAsia"/>
                <w:b/>
                <w:color w:val="1A237E"/>
                <w:sz w:val="16"/>
              </w:rPr>
              <w:t xml:space="preserve"> </w:t>
            </w:r>
            <w:r>
              <w:rPr>
                <w:rFonts w:ascii="微软雅黑" w:hAnsi="微软雅黑" w:eastAsia="微软雅黑" w:hint="eastAsia"/>
                <w:b/>
                <w:color w:val="1A237E"/>
                <w:sz w:val="16"/>
              </w:rPr>
              <w:t>年利润（万元）</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保守</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8</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68.0</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0</w:t>
            </w:r>
            <w:r>
              <w:rPr>
                <w:color w:val="212121"/>
                <w:sz w:val="16"/>
              </w:rPr>
              <w:t xml:space="preserve"> </w:t>
            </w:r>
            <w:r>
              <w:rPr>
                <w:color w:val="212121"/>
                <w:sz w:val="16"/>
              </w:rPr>
              <w:t>（基本盈亏平衡）</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基准</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25</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16</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140.6</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21.2</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乐观</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45</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29</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253.4</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约</w:t>
            </w:r>
            <w:r>
              <w:rPr>
                <w:color w:val="212121"/>
                <w:sz w:val="16"/>
              </w:rPr>
              <w:t xml:space="preserve"> </w:t>
            </w:r>
            <w:r>
              <w:rPr>
                <w:color w:val="212121"/>
                <w:sz w:val="16"/>
              </w:rPr>
              <w:t xml:space="preserve"> 58</w:t>
            </w:r>
          </w:p>
        </w:tc>
      </w:tr>
    </w:tbl>
    <w:p>
      <w:pPr>
        <w:jc w:val="both"/>
      </w:pPr>
      <w:r>
        <w:rPr>
          <w:rFonts w:ascii="微软雅黑" w:eastAsia="微软雅黑" w:hAnsi="微软雅黑" w:cs="微软雅黑" w:hint="eastAsia"/>
          <w:sz w:val="20"/>
          <w:lang w:eastAsia="zh-CN"/>
        </w:rPr>
        <w:t>情景之间的差异几乎完全由</w:t>
      </w:r>
      <w:r>
        <w:rPr>
          <w:rFonts w:ascii="微软雅黑" w:eastAsia="微软雅黑" w:hAnsi="微软雅黑" w:cs="微软雅黑" w:hint="eastAsia"/>
          <w:b/>
          <w:sz w:val="20"/>
          <w:lang w:eastAsia="zh-CN"/>
        </w:rPr>
        <w:t>场站签约数量</w:t>
      </w:r>
      <w:r>
        <w:rPr>
          <w:rFonts w:ascii="微软雅黑" w:eastAsia="微软雅黑" w:hAnsi="微软雅黑" w:cs="微软雅黑" w:hint="eastAsia"/>
          <w:sz w:val="20"/>
          <w:lang w:eastAsia="zh-CN"/>
        </w:rPr>
        <w:t>驱动</w:t>
      </w:r>
      <w:r>
        <w:rPr>
          <w:sz w:val="20"/>
        </w:rPr>
        <w:t>——</w:t>
      </w:r>
      <w:r>
        <w:rPr>
          <w:rFonts w:ascii="微软雅黑" w:eastAsia="微软雅黑" w:hAnsi="微软雅黑" w:cs="微软雅黑" w:hint="eastAsia"/>
          <w:sz w:val="20"/>
          <w:lang w:eastAsia="zh-CN"/>
        </w:rPr>
        <w:t>这是本项目最关键的单一变量。因此在经营管理上，应把资源集中投向</w:t>
      </w:r>
      <w:r>
        <w:rPr>
          <w:sz w:val="20"/>
        </w:rPr>
        <w:t>"</w:t>
      </w:r>
      <w:r>
        <w:rPr>
          <w:rFonts w:ascii="微软雅黑" w:eastAsia="微软雅黑" w:hAnsi="微软雅黑" w:cs="微软雅黑" w:hint="eastAsia"/>
          <w:sz w:val="20"/>
          <w:lang w:eastAsia="zh-CN"/>
        </w:rPr>
        <w:t>缩短签约周期</w:t>
      </w:r>
      <w:r>
        <w:rPr>
          <w:sz w:val="20"/>
        </w:rPr>
        <w:t>"</w:t>
      </w:r>
      <w:r>
        <w:rPr>
          <w:rFonts w:ascii="微软雅黑" w:eastAsia="微软雅黑" w:hAnsi="微软雅黑" w:cs="微软雅黑" w:hint="eastAsia"/>
          <w:sz w:val="20"/>
          <w:lang w:eastAsia="zh-CN"/>
        </w:rPr>
        <w:t>和</w:t>
      </w:r>
      <w:r>
        <w:rPr>
          <w:sz w:val="20"/>
        </w:rPr>
        <w:t>"</w:t>
      </w:r>
      <w:r>
        <w:rPr>
          <w:rFonts w:ascii="微软雅黑" w:eastAsia="微软雅黑" w:hAnsi="微软雅黑" w:cs="微软雅黑" w:hint="eastAsia"/>
          <w:sz w:val="20"/>
          <w:lang w:eastAsia="zh-CN"/>
        </w:rPr>
        <w:t>提高单场站复制效率</w:t>
      </w:r>
      <w:r>
        <w:rPr>
          <w:sz w:val="20"/>
        </w:rPr>
        <w:t>"</w:t>
      </w:r>
      <w:r>
        <w:rPr>
          <w:rFonts w:ascii="微软雅黑" w:eastAsia="微软雅黑" w:hAnsi="微软雅黑" w:cs="微软雅黑" w:hint="eastAsia"/>
          <w:sz w:val="20"/>
          <w:lang w:eastAsia="zh-CN"/>
        </w:rPr>
        <w:t>，而不是投入更多资源继续优化算法精度。</w:t>
      </w:r>
    </w:p>
    <w:p>
      <w:pPr>
        <w:pStyle w:val="Heading3"/>
        <w:spacing w:line="300" w:lineRule="auto"/>
      </w:pPr>
      <w:r>
        <w:rPr>
          <w:rFonts w:ascii="微软雅黑" w:hAnsi="微软雅黑" w:eastAsia="微软雅黑" w:cs="微软雅黑" w:hint="eastAsia"/>
          <w:b/>
          <w:color w:val="1565C0"/>
          <w:sz w:val="22"/>
          <w:lang w:eastAsia="zh-CN"/>
        </w:rPr>
        <w:t>8.7 资金需求与使用计划</w:t>
      </w:r>
    </w:p>
    <w:p>
      <w:pPr>
        <w:jc w:val="both"/>
      </w:pPr>
      <w:r>
        <w:rPr>
          <w:rFonts w:ascii="微软雅黑" w:eastAsia="微软雅黑" w:hAnsi="微软雅黑" w:cs="微软雅黑" w:hint="eastAsia"/>
          <w:sz w:val="20"/>
          <w:lang w:eastAsia="zh-CN"/>
        </w:rPr>
        <w:t>本项目</w:t>
      </w:r>
      <w:r>
        <w:rPr>
          <w:rFonts w:ascii="微软雅黑" w:eastAsia="微软雅黑" w:hAnsi="微软雅黑" w:cs="微软雅黑" w:hint="eastAsia"/>
          <w:b/>
          <w:sz w:val="20"/>
          <w:lang w:eastAsia="zh-CN"/>
        </w:rPr>
        <w:t>不涉及股权融资</w:t>
      </w:r>
      <w:r>
        <w:rPr>
          <w:rFonts w:ascii="微软雅黑" w:eastAsia="微软雅黑" w:hAnsi="微软雅黑" w:cs="微软雅黑" w:hint="eastAsia"/>
          <w:sz w:val="20"/>
          <w:lang w:eastAsia="zh-CN"/>
        </w:rPr>
        <w:t>，资金需求分两档：</w:t>
      </w:r>
    </w:p>
    <w:p>
      <w:pPr>
        <w:jc w:val="both"/>
      </w:pPr>
      <w:r>
        <w:rPr>
          <w:rFonts w:ascii="微软雅黑" w:eastAsia="微软雅黑" w:hAnsi="微软雅黑" w:cs="微软雅黑" w:hint="eastAsia"/>
          <w:b/>
          <w:sz w:val="20"/>
          <w:lang w:eastAsia="zh-CN"/>
        </w:rPr>
        <w:t>第一档：竞赛与种子阶段（12 个月，10 万元）</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用途</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金额（万元）</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示范场站硬件与部署（边缘计算盒</w:t>
            </w:r>
            <w:r>
              <w:rPr>
                <w:color w:val="212121"/>
                <w:sz w:val="16"/>
              </w:rPr>
              <w:t xml:space="preserve"> </w:t>
            </w:r>
            <w:r>
              <w:rPr>
                <w:color w:val="212121"/>
                <w:sz w:val="16"/>
              </w:rPr>
              <w:t xml:space="preserve"> 2 </w:t>
            </w:r>
            <w:r>
              <w:rPr>
                <w:color w:val="212121"/>
                <w:sz w:val="16"/>
              </w:rPr>
              <w:t xml:space="preserve"> </w:t>
            </w:r>
            <w:r>
              <w:rPr>
                <w:color w:val="212121"/>
                <w:sz w:val="16"/>
              </w:rPr>
              <w:t>台、摄像头支架）</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云资源与短信</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模型训练与数据标注</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1.5</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软件著作权与知识产权</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0.5</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差旅与材料</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备用金</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2.0</w:t>
            </w:r>
          </w:p>
        </w:tc>
      </w:tr>
    </w:tbl>
    <w:p>
      <w:pPr>
        <w:jc w:val="both"/>
      </w:pPr>
      <w:r>
        <w:rPr>
          <w:rFonts w:ascii="微软雅黑" w:eastAsia="微软雅黑" w:hAnsi="微软雅黑" w:cs="微软雅黑" w:hint="eastAsia"/>
          <w:b/>
          <w:sz w:val="20"/>
          <w:lang w:eastAsia="zh-CN"/>
        </w:rPr>
        <w:t>第二档：转实体运营阶段（18 个月，50 万元，视竞赛结果与推广进度启动）</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用途</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金额（万元）</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全职实施工程师</w:t>
            </w:r>
            <w:r>
              <w:rPr>
                <w:color w:val="212121"/>
                <w:sz w:val="16"/>
              </w:rPr>
              <w:t xml:space="preserve"> </w:t>
            </w:r>
            <w:r>
              <w:rPr>
                <w:color w:val="212121"/>
                <w:sz w:val="16"/>
              </w:rPr>
              <w:t xml:space="preserve"> 1 </w:t>
            </w:r>
            <w:r>
              <w:rPr>
                <w:color w:val="212121"/>
                <w:sz w:val="16"/>
              </w:rPr>
              <w:t xml:space="preserve"> </w:t>
            </w:r>
            <w:r>
              <w:rPr>
                <w:color w:val="212121"/>
                <w:sz w:val="16"/>
              </w:rPr>
              <w:t>名</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18.0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检测模型商业授权</w:t>
            </w:r>
            <w:r>
              <w:rPr>
                <w:color w:val="212121"/>
                <w:sz w:val="16"/>
              </w:rPr>
              <w:t xml:space="preserve"> </w:t>
            </w:r>
            <w:r>
              <w:rPr>
                <w:color w:val="212121"/>
                <w:sz w:val="16"/>
              </w:rPr>
              <w:t xml:space="preserve"> 2 </w:t>
            </w:r>
            <w:r>
              <w:rPr>
                <w:color w:val="212121"/>
                <w:sz w:val="16"/>
              </w:rPr>
              <w:t xml:space="preserve"> </w:t>
            </w:r>
            <w:r>
              <w:rPr>
                <w:color w:val="212121"/>
                <w:sz w:val="16"/>
              </w:rPr>
              <w:t>年</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14.4</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6–8 </w:t>
            </w:r>
            <w:r>
              <w:rPr>
                <w:color w:val="212121"/>
                <w:sz w:val="16"/>
              </w:rPr>
              <w:t xml:space="preserve"> </w:t>
            </w:r>
            <w:r>
              <w:rPr>
                <w:color w:val="212121"/>
                <w:sz w:val="16"/>
              </w:rPr>
              <w:t>个试点场站硬件与部署</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9.0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市场推广与渠道建设</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5.0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备用金</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3.6</w:t>
            </w:r>
          </w:p>
        </w:tc>
      </w:tr>
    </w:tbl>
    <w:p>
      <w:pPr>
        <w:jc w:val="both"/>
      </w:pPr>
      <w:r>
        <w:rPr>
          <w:rFonts w:ascii="微软雅黑" w:eastAsia="微软雅黑" w:hAnsi="微软雅黑" w:cs="微软雅黑" w:hint="eastAsia"/>
          <w:sz w:val="20"/>
          <w:lang w:eastAsia="zh-CN"/>
        </w:rPr>
        <w:t>资金来源设想：大学生创新创业训练计划项目资助、学校创新创业基金、竞赛奖金与团队自筹。资金使用的核心原则是</w:t>
      </w:r>
      <w:r>
        <w:rPr>
          <w:rFonts w:ascii="微软雅黑" w:eastAsia="微软雅黑" w:hAnsi="微软雅黑" w:cs="微软雅黑" w:hint="eastAsia"/>
          <w:b/>
          <w:sz w:val="20"/>
          <w:lang w:eastAsia="zh-CN"/>
        </w:rPr>
        <w:t>优先投向能带来场站数量的环节</w:t>
      </w:r>
      <w:r>
        <w:rPr>
          <w:rFonts w:ascii="微软雅黑" w:eastAsia="微软雅黑" w:hAnsi="微软雅黑" w:cs="微软雅黑" w:hint="eastAsia"/>
          <w:sz w:val="20"/>
          <w:lang w:eastAsia="zh-CN"/>
        </w:rPr>
        <w:t>（示范场站、试点部署、商业授权），而非固定投入。</w:t>
      </w:r>
    </w:p>
    <w:p>
      <w:bookmarkStart w:id="20" w:name="_Toc_section_9"/>
      <w:bookmarkStart w:id="8" w:name="section-9"/>
      <w:pPr>
        <w:pStyle w:val="Heading2"/>
        <w:spacing w:line="300" w:lineRule="auto"/>
      </w:pPr>
      <w:bookmarkEnd w:id="8"/>
      <w:r>
        <w:rPr>
          <w:rFonts w:ascii="微软雅黑" w:hAnsi="微软雅黑" w:eastAsia="微软雅黑" w:cs="微软雅黑" w:hint="eastAsia"/>
          <w:b/>
          <w:color w:val="1A237E"/>
          <w:sz w:val="26"/>
          <w:lang w:eastAsia="zh-CN"/>
        </w:rPr>
        <w:t>九、风险分析与对策</w:t>
      </w:r>
      <w:bookmarkEnd w:id="20"/>
    </w:p>
    <w:p>
      <w:pPr>
        <w:jc w:val="both"/>
      </w:pPr>
      <w:r>
        <w:rPr>
          <w:rFonts w:ascii="微软雅黑" w:eastAsia="微软雅黑" w:hAnsi="微软雅黑" w:cs="微软雅黑" w:hint="eastAsia"/>
          <w:sz w:val="20"/>
          <w:lang w:eastAsia="zh-CN"/>
        </w:rPr>
        <w:t>本章按商业视角列出主要风险与对策，并明确需要被验证的关键假设与决策点。</w:t>
      </w:r>
    </w:p>
    <w:p>
      <w:pPr>
        <w:pStyle w:val="Heading3"/>
        <w:spacing w:line="300" w:lineRule="auto"/>
      </w:pPr>
      <w:r>
        <w:rPr>
          <w:rFonts w:ascii="微软雅黑" w:hAnsi="微软雅黑" w:eastAsia="微软雅黑" w:cs="微软雅黑" w:hint="eastAsia"/>
          <w:b/>
          <w:color w:val="1565C0"/>
          <w:sz w:val="22"/>
          <w:lang w:eastAsia="zh-CN"/>
        </w:rPr>
        <w:t>9.1 风险登记表</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编号</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风险</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概率</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影响</w:t>
            </w:r>
          </w:p>
        </w:tc>
        <w:tc>
          <w:tcPr>
            <w:tcW w:type="dxa" w:w="1728"/>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应对措施</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R1</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公共机构采购周期长</w:t>
            </w:r>
            <w:r>
              <w:rPr>
                <w:color w:val="212121"/>
                <w:sz w:val="16"/>
              </w:rPr>
              <w:t xml:space="preserve"> ，预算需走年度审批与招标流程</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先用校内示范与免费试用建立案例与信任；把年费定价压到既有信息化科目可覆盖的范围，避免新增预算审批；同步走系统集成商渠道，借他人已入围的采购资格</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R2</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政策落地存在过渡期</w:t>
            </w:r>
            <w:r>
              <w:rPr>
                <w:color w:val="212121"/>
                <w:sz w:val="16"/>
              </w:rPr>
              <w:t xml:space="preserve"> ，配建与开放进度慢于标准要求</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客户拓展不依赖单一政策叙事，同时面向园区、写字楼等纯商业场景；把</w:t>
            </w:r>
            <w:r>
              <w:rPr>
                <w:color w:val="212121"/>
                <w:sz w:val="16"/>
              </w:rPr>
              <w:t xml:space="preserve"> </w:t>
            </w:r>
            <w:r>
              <w:rPr>
                <w:color w:val="212121"/>
                <w:sz w:val="16"/>
              </w:rPr>
              <w:t>"</w:t>
            </w:r>
            <w:r>
              <w:rPr>
                <w:color w:val="212121"/>
                <w:sz w:val="16"/>
              </w:rPr>
              <w:t xml:space="preserve"> </w:t>
            </w:r>
            <w:r>
              <w:rPr>
                <w:color w:val="212121"/>
                <w:sz w:val="16"/>
              </w:rPr>
              <w:t>降低巡查成本</w:t>
            </w:r>
            <w:r>
              <w:rPr>
                <w:color w:val="212121"/>
                <w:sz w:val="16"/>
              </w:rPr>
              <w:t xml:space="preserve"> </w:t>
            </w:r>
            <w:r>
              <w:rPr>
                <w:color w:val="212121"/>
                <w:sz w:val="16"/>
              </w:rPr>
              <w:t>"</w:t>
            </w:r>
            <w:r>
              <w:rPr>
                <w:color w:val="212121"/>
                <w:sz w:val="16"/>
              </w:rPr>
              <w:t xml:space="preserve"> </w:t>
            </w:r>
            <w:r>
              <w:rPr>
                <w:color w:val="212121"/>
                <w:sz w:val="16"/>
              </w:rPr>
              <w:t>作为并行的价值主张</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R3</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开源许可合规</w:t>
            </w:r>
            <w:r>
              <w:rPr>
                <w:color w:val="212121"/>
                <w:sz w:val="16"/>
              </w:rPr>
              <w:t xml:space="preserve"> </w:t>
            </w:r>
            <w:r>
              <w:rPr>
                <w:color w:val="212121"/>
                <w:sz w:val="16"/>
              </w:rPr>
              <w:t>：</w:t>
            </w:r>
            <w:r>
              <w:rPr>
                <w:color w:val="212121"/>
                <w:sz w:val="16"/>
              </w:rPr>
              <w:t xml:space="preserve"> </w:t>
            </w:r>
            <w:r>
              <w:rPr>
                <w:color w:val="212121"/>
                <w:sz w:val="16"/>
              </w:rPr>
              <w:t xml:space="preserve">YOLO </w:t>
            </w:r>
            <w:r>
              <w:rPr>
                <w:color w:val="212121"/>
                <w:sz w:val="16"/>
              </w:rPr>
              <w:t xml:space="preserve"> </w:t>
            </w:r>
            <w:r>
              <w:rPr>
                <w:color w:val="212121"/>
                <w:sz w:val="16"/>
              </w:rPr>
              <w:t>系列为</w:t>
            </w:r>
            <w:r>
              <w:rPr>
                <w:color w:val="212121"/>
                <w:sz w:val="16"/>
              </w:rPr>
              <w:t xml:space="preserve"> </w:t>
            </w:r>
            <w:r>
              <w:rPr>
                <w:color w:val="212121"/>
                <w:sz w:val="16"/>
              </w:rPr>
              <w:t xml:space="preserve"> AGPL-3.0</w:t>
            </w:r>
            <w:r>
              <w:rPr>
                <w:color w:val="212121"/>
                <w:sz w:val="16"/>
              </w:rPr>
              <w:t xml:space="preserve"> </w:t>
            </w:r>
            <w:r>
              <w:rPr>
                <w:color w:val="212121"/>
                <w:sz w:val="16"/>
              </w:rPr>
              <w:t>，商业交付受网络服务条款约束</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商业交付前必须完成二选一：取得</w:t>
            </w:r>
            <w:r>
              <w:rPr>
                <w:color w:val="212121"/>
                <w:sz w:val="16"/>
              </w:rPr>
              <w:t xml:space="preserve"> </w:t>
            </w:r>
            <w:r>
              <w:rPr>
                <w:color w:val="212121"/>
                <w:sz w:val="16"/>
              </w:rPr>
              <w:t xml:space="preserve"> Enterprise License</w:t>
            </w:r>
            <w:r>
              <w:rPr>
                <w:color w:val="212121"/>
                <w:sz w:val="16"/>
              </w:rPr>
              <w:t xml:space="preserve"> </w:t>
            </w:r>
            <w:r>
              <w:rPr>
                <w:color w:val="212121"/>
                <w:sz w:val="16"/>
              </w:rPr>
              <w:t>（向官方询价）或切换至</w:t>
            </w:r>
            <w:r>
              <w:rPr>
                <w:color w:val="212121"/>
                <w:sz w:val="16"/>
              </w:rPr>
              <w:t xml:space="preserve"> </w:t>
            </w:r>
            <w:r>
              <w:rPr>
                <w:color w:val="212121"/>
                <w:sz w:val="16"/>
              </w:rPr>
              <w:t xml:space="preserve"> Apache-2.0 </w:t>
            </w:r>
            <w:r>
              <w:rPr>
                <w:color w:val="212121"/>
                <w:sz w:val="16"/>
              </w:rPr>
              <w:t xml:space="preserve"> </w:t>
            </w:r>
            <w:r>
              <w:rPr>
                <w:color w:val="212121"/>
                <w:sz w:val="16"/>
              </w:rPr>
              <w:t>许可的替代检测模型。已列入资金计划（</w:t>
            </w:r>
            <w:r>
              <w:rPr>
                <w:color w:val="212121"/>
                <w:sz w:val="16"/>
              </w:rPr>
              <w:t xml:space="preserve"> </w:t>
            </w:r>
            <w:r>
              <w:rPr>
                <w:color w:val="212121"/>
                <w:sz w:val="16"/>
              </w:rPr>
              <w:t xml:space="preserve">14.4 </w:t>
            </w:r>
            <w:r>
              <w:rPr>
                <w:color w:val="212121"/>
                <w:sz w:val="16"/>
              </w:rPr>
              <w:t xml:space="preserve"> </w:t>
            </w:r>
            <w:r>
              <w:rPr>
                <w:color w:val="212121"/>
                <w:sz w:val="16"/>
              </w:rPr>
              <w:t>万元</w:t>
            </w:r>
            <w:r>
              <w:rPr>
                <w:color w:val="212121"/>
                <w:sz w:val="16"/>
              </w:rPr>
              <w:t xml:space="preserve"> </w:t>
            </w:r>
            <w:r>
              <w:rPr>
                <w:color w:val="212121"/>
                <w:sz w:val="16"/>
              </w:rPr>
              <w:t xml:space="preserve">/2 </w:t>
            </w:r>
            <w:r>
              <w:rPr>
                <w:color w:val="212121"/>
                <w:sz w:val="16"/>
              </w:rPr>
              <w:t xml:space="preserve"> </w:t>
            </w:r>
            <w:r>
              <w:rPr>
                <w:color w:val="212121"/>
                <w:sz w:val="16"/>
              </w:rPr>
              <w:t>年）并设定交付前决策点</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R4</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技术指标未达标</w:t>
            </w:r>
            <w:r>
              <w:rPr>
                <w:color w:val="212121"/>
                <w:sz w:val="16"/>
              </w:rPr>
              <w:t xml:space="preserve"> </w:t>
            </w:r>
            <w:r>
              <w:rPr>
                <w:color w:val="212121"/>
                <w:sz w:val="16"/>
              </w:rPr>
              <w:t>（检测与识别准确率目标</w:t>
            </w:r>
            <w:r>
              <w:rPr>
                <w:color w:val="212121"/>
                <w:sz w:val="16"/>
              </w:rPr>
              <w:t xml:space="preserve"> </w:t>
            </w:r>
            <w:r>
              <w:rPr>
                <w:color w:val="212121"/>
                <w:sz w:val="16"/>
              </w:rPr>
              <w:t xml:space="preserve"> 95%</w:t>
            </w:r>
            <w:r>
              <w:rPr>
                <w:color w:val="212121"/>
                <w:sz w:val="16"/>
              </w:rPr>
              <w:t xml:space="preserve"> </w:t>
            </w:r>
            <w:r>
              <w:rPr>
                <w:color w:val="212121"/>
                <w:sz w:val="16"/>
              </w:rPr>
              <w:t>、</w:t>
            </w:r>
            <w:r>
              <w:rPr>
                <w:color w:val="212121"/>
                <w:sz w:val="16"/>
              </w:rPr>
              <w:t xml:space="preserve"> </w:t>
            </w:r>
            <w:r>
              <w:rPr>
                <w:color w:val="212121"/>
                <w:sz w:val="16"/>
              </w:rPr>
              <w:t>90%</w:t>
            </w:r>
            <w:r>
              <w:rPr>
                <w:color w:val="212121"/>
                <w:sz w:val="16"/>
              </w:rPr>
              <w:t xml:space="preserve"> </w:t>
            </w:r>
            <w:r>
              <w:rPr>
                <w:color w:val="212121"/>
                <w:sz w:val="16"/>
              </w:rPr>
              <w:t>）</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扩充校园场景测试集、模型微调、目标跟踪去重、抽帧降频；把准确率目标与验收口径在合同中提前约定分级（如按场景难度分层验收）</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R5</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充电状态数据获取受限</w:t>
            </w:r>
            <w:r>
              <w:rPr>
                <w:color w:val="212121"/>
                <w:sz w:val="16"/>
              </w:rPr>
              <w:t xml:space="preserve"> ：运营商接口权限不足</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高（已发生）</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开发期采用模拟数据并预留</w:t>
            </w:r>
            <w:r>
              <w:rPr>
                <w:color w:val="212121"/>
                <w:sz w:val="16"/>
              </w:rPr>
              <w:t xml:space="preserve"> </w:t>
            </w:r>
            <w:r>
              <w:rPr>
                <w:color w:val="212121"/>
                <w:sz w:val="16"/>
              </w:rPr>
              <w:t xml:space="preserve"> OCPP </w:t>
            </w:r>
            <w:r>
              <w:rPr>
                <w:color w:val="212121"/>
                <w:sz w:val="16"/>
              </w:rPr>
              <w:t xml:space="preserve"> </w:t>
            </w:r>
            <w:r>
              <w:rPr>
                <w:color w:val="212121"/>
                <w:sz w:val="16"/>
              </w:rPr>
              <w:t>适配层，不阻塞闭环；中长期通过与运营商的合作对接获取真实状态。产品在</w:t>
            </w:r>
            <w:r>
              <w:rPr>
                <w:color w:val="212121"/>
                <w:sz w:val="16"/>
              </w:rPr>
              <w:t xml:space="preserve"> </w:t>
            </w:r>
            <w:r>
              <w:rPr>
                <w:color w:val="212121"/>
                <w:sz w:val="16"/>
              </w:rPr>
              <w:t>"</w:t>
            </w:r>
            <w:r>
              <w:rPr>
                <w:color w:val="212121"/>
                <w:sz w:val="16"/>
              </w:rPr>
              <w:t xml:space="preserve"> </w:t>
            </w:r>
            <w:r>
              <w:rPr>
                <w:color w:val="212121"/>
                <w:sz w:val="16"/>
              </w:rPr>
              <w:t>只有模拟数据</w:t>
            </w:r>
            <w:r>
              <w:rPr>
                <w:color w:val="212121"/>
                <w:sz w:val="16"/>
              </w:rPr>
              <w:t xml:space="preserve"> </w:t>
            </w:r>
            <w:r>
              <w:rPr>
                <w:color w:val="212121"/>
                <w:sz w:val="16"/>
              </w:rPr>
              <w:t>"</w:t>
            </w:r>
            <w:r>
              <w:rPr>
                <w:color w:val="212121"/>
                <w:sz w:val="16"/>
              </w:rPr>
              <w:t xml:space="preserve"> </w:t>
            </w:r>
            <w:r>
              <w:rPr>
                <w:color w:val="212121"/>
                <w:sz w:val="16"/>
              </w:rPr>
              <w:t>时也能完整演示，降低对第三方的依赖</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R6</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模型跨场站泛化不足</w:t>
            </w:r>
            <w:r>
              <w:rPr>
                <w:color w:val="212121"/>
                <w:sz w:val="16"/>
              </w:rPr>
              <w:t xml:space="preserve"> ：不同校园的光照、拍摄角度、车位划线差异大</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把</w:t>
            </w:r>
            <w:r>
              <w:rPr>
                <w:color w:val="212121"/>
                <w:sz w:val="16"/>
              </w:rPr>
              <w:t xml:space="preserve"> </w:t>
            </w:r>
            <w:r>
              <w:rPr>
                <w:color w:val="212121"/>
                <w:sz w:val="16"/>
              </w:rPr>
              <w:t>"</w:t>
            </w:r>
            <w:r>
              <w:rPr>
                <w:color w:val="212121"/>
                <w:sz w:val="16"/>
              </w:rPr>
              <w:t xml:space="preserve"> </w:t>
            </w:r>
            <w:r>
              <w:rPr>
                <w:color w:val="212121"/>
                <w:sz w:val="16"/>
              </w:rPr>
              <w:t>场景适配</w:t>
            </w:r>
            <w:r>
              <w:rPr>
                <w:color w:val="212121"/>
                <w:sz w:val="16"/>
              </w:rPr>
              <w:t xml:space="preserve"> </w:t>
            </w:r>
            <w:r>
              <w:rPr>
                <w:color w:val="212121"/>
                <w:sz w:val="16"/>
              </w:rPr>
              <w:t>"</w:t>
            </w:r>
            <w:r>
              <w:rPr>
                <w:color w:val="212121"/>
                <w:sz w:val="16"/>
              </w:rPr>
              <w:t xml:space="preserve"> </w:t>
            </w:r>
            <w:r>
              <w:rPr>
                <w:color w:val="212121"/>
                <w:sz w:val="16"/>
              </w:rPr>
              <w:t>做成标准交付动作并计入成本；建立场景适配经验库，缩短新场站适配时间</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R7</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数据与隐私合规</w:t>
            </w:r>
            <w:r>
              <w:rPr>
                <w:color w:val="212121"/>
                <w:sz w:val="16"/>
              </w:rPr>
              <w:t xml:space="preserve"> ：车牌号属于个人信息</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遵循最小必要原则，车牌脱敏展示、仅存管理必需字段、访问留审计痕迹；在合同中明确数据权属与处理边界</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R8</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竞品快速跟进</w:t>
            </w:r>
            <w:r>
              <w:rPr>
                <w:color w:val="212121"/>
                <w:sz w:val="16"/>
              </w:rPr>
              <w:t xml:space="preserve"> ：智慧停车厂商叠加充电状态模块</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以校园场景数据与已交付案例构筑先发优势；用</w:t>
            </w:r>
            <w:r>
              <w:rPr>
                <w:color w:val="212121"/>
                <w:sz w:val="16"/>
              </w:rPr>
              <w:t xml:space="preserve"> </w:t>
            </w:r>
            <w:r>
              <w:rPr>
                <w:color w:val="212121"/>
                <w:sz w:val="16"/>
              </w:rPr>
              <w:t>"</w:t>
            </w:r>
            <w:r>
              <w:rPr>
                <w:color w:val="212121"/>
                <w:sz w:val="16"/>
              </w:rPr>
              <w:t xml:space="preserve"> </w:t>
            </w:r>
            <w:r>
              <w:rPr>
                <w:color w:val="212121"/>
                <w:sz w:val="16"/>
              </w:rPr>
              <w:t>尽快复制场站数量</w:t>
            </w:r>
            <w:r>
              <w:rPr>
                <w:color w:val="212121"/>
                <w:sz w:val="16"/>
              </w:rPr>
              <w:t xml:space="preserve"> </w:t>
            </w:r>
            <w:r>
              <w:rPr>
                <w:color w:val="212121"/>
                <w:sz w:val="16"/>
              </w:rPr>
              <w:t>"</w:t>
            </w:r>
            <w:r>
              <w:rPr>
                <w:color w:val="212121"/>
                <w:sz w:val="16"/>
              </w:rPr>
              <w:t xml:space="preserve"> </w:t>
            </w:r>
            <w:r>
              <w:rPr>
                <w:color w:val="212121"/>
                <w:sz w:val="16"/>
              </w:rPr>
              <w:t>替代</w:t>
            </w:r>
            <w:r>
              <w:rPr>
                <w:color w:val="212121"/>
                <w:sz w:val="16"/>
              </w:rPr>
              <w:t xml:space="preserve"> </w:t>
            </w:r>
            <w:r>
              <w:rPr>
                <w:color w:val="212121"/>
                <w:sz w:val="16"/>
              </w:rPr>
              <w:t>"</w:t>
            </w:r>
            <w:r>
              <w:rPr>
                <w:color w:val="212121"/>
                <w:sz w:val="16"/>
              </w:rPr>
              <w:t xml:space="preserve"> </w:t>
            </w:r>
            <w:r>
              <w:rPr>
                <w:color w:val="212121"/>
                <w:sz w:val="16"/>
              </w:rPr>
              <w:t>技术封锁</w:t>
            </w:r>
            <w:r>
              <w:rPr>
                <w:color w:val="212121"/>
                <w:sz w:val="16"/>
              </w:rPr>
              <w:t xml:space="preserve"> </w:t>
            </w:r>
            <w:r>
              <w:rPr>
                <w:color w:val="212121"/>
                <w:sz w:val="16"/>
              </w:rPr>
              <w:t>"</w:t>
            </w:r>
            <w:r>
              <w:rPr>
                <w:color w:val="212121"/>
                <w:sz w:val="16"/>
              </w:rPr>
              <w:t xml:space="preserve"> </w:t>
            </w:r>
            <w:r>
              <w:rPr>
                <w:color w:val="212121"/>
                <w:sz w:val="16"/>
              </w:rPr>
              <w:t>作为主要防御</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R9</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团队持续投入风险</w:t>
            </w:r>
            <w:r>
              <w:rPr>
                <w:color w:val="212121"/>
                <w:sz w:val="16"/>
              </w:rPr>
              <w:t xml:space="preserve"> ：成员面临学业压力，毕业后可能中断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建立完整文档与交接机制；招募低年级成员形成梯队；把关键能力沉淀为可交接的资产（契约文档、部署手册、适配经验库）而非个人经验</w:t>
            </w:r>
          </w:p>
        </w:tc>
      </w:tr>
      <w:tr>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R10</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b/>
                <w:color w:val="212121"/>
                <w:sz w:val="16"/>
              </w:rPr>
              <w:t>单一客户依赖</w:t>
            </w:r>
            <w:r>
              <w:rPr>
                <w:color w:val="212121"/>
                <w:sz w:val="16"/>
              </w:rPr>
              <w:t xml:space="preserve"> ：初期收入高度依赖母校示范场站</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高</w:t>
            </w:r>
          </w:p>
        </w:tc>
        <w:tc>
          <w:tcPr>
            <w:tcW w:type="dxa" w:w="1728"/>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w:t>
            </w:r>
            <w:r>
              <w:rPr>
                <w:color w:val="212121"/>
                <w:sz w:val="16"/>
              </w:rPr>
              <w:t xml:space="preserve"> </w:t>
            </w:r>
            <w:r>
              <w:rPr>
                <w:color w:val="212121"/>
                <w:sz w:val="16"/>
              </w:rPr>
              <w:t xml:space="preserve"> 2 </w:t>
            </w:r>
            <w:r>
              <w:rPr>
                <w:color w:val="212121"/>
                <w:sz w:val="16"/>
              </w:rPr>
              <w:t xml:space="preserve"> </w:t>
            </w:r>
            <w:r>
              <w:rPr>
                <w:color w:val="212121"/>
                <w:sz w:val="16"/>
              </w:rPr>
              <w:t>年起把重心转向外部客户；设定</w:t>
            </w:r>
            <w:r>
              <w:rPr>
                <w:color w:val="212121"/>
                <w:sz w:val="16"/>
              </w:rPr>
              <w:t xml:space="preserve"> </w:t>
            </w:r>
            <w:r>
              <w:rPr>
                <w:color w:val="212121"/>
                <w:sz w:val="16"/>
              </w:rPr>
              <w:t>"</w:t>
            </w:r>
            <w:r>
              <w:rPr>
                <w:color w:val="212121"/>
                <w:sz w:val="16"/>
              </w:rPr>
              <w:t xml:space="preserve"> </w:t>
            </w:r>
            <w:r>
              <w:rPr>
                <w:color w:val="212121"/>
                <w:sz w:val="16"/>
              </w:rPr>
              <w:t>外部客户收入占比</w:t>
            </w:r>
            <w:r>
              <w:rPr>
                <w:color w:val="212121"/>
                <w:sz w:val="16"/>
              </w:rPr>
              <w:t xml:space="preserve"> </w:t>
            </w:r>
            <w:r>
              <w:rPr>
                <w:color w:val="212121"/>
                <w:sz w:val="16"/>
              </w:rPr>
              <w:t>"</w:t>
            </w:r>
            <w:r>
              <w:rPr>
                <w:color w:val="212121"/>
                <w:sz w:val="16"/>
              </w:rPr>
              <w:t xml:space="preserve"> </w:t>
            </w:r>
            <w:r>
              <w:rPr>
                <w:color w:val="212121"/>
                <w:sz w:val="16"/>
              </w:rPr>
              <w:t>为考核指标，避免长期停留在校内项目状态</w:t>
            </w:r>
          </w:p>
        </w:tc>
      </w:tr>
    </w:tbl>
    <w:p>
      <w:pPr>
        <w:pStyle w:val="Heading3"/>
        <w:spacing w:line="300" w:lineRule="auto"/>
      </w:pPr>
      <w:r>
        <w:rPr>
          <w:rFonts w:ascii="微软雅黑" w:hAnsi="微软雅黑" w:eastAsia="微软雅黑" w:cs="微软雅黑" w:hint="eastAsia"/>
          <w:b/>
          <w:color w:val="1565C0"/>
          <w:sz w:val="22"/>
          <w:lang w:eastAsia="zh-CN"/>
        </w:rPr>
        <w:t>9.2 关键假设与验证计划</w:t>
      </w:r>
    </w:p>
    <w:p>
      <w:pPr>
        <w:jc w:val="both"/>
      </w:pPr>
      <w:r>
        <w:rPr>
          <w:rFonts w:ascii="微软雅黑" w:eastAsia="微软雅黑" w:hAnsi="微软雅黑" w:cs="微软雅黑" w:hint="eastAsia"/>
          <w:sz w:val="20"/>
          <w:lang w:eastAsia="zh-CN"/>
        </w:rPr>
        <w:t>财务预测的可信度取决于以下假设能否被验证。团队将它们逐一列出，而不是隐藏在小字里：</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待验证假设</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验证方式</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验证时机</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客户是否愿意为</w:t>
            </w:r>
            <w:r>
              <w:rPr>
                <w:color w:val="212121"/>
                <w:sz w:val="16"/>
              </w:rPr>
              <w:t xml:space="preserve"> </w:t>
            </w:r>
            <w:r>
              <w:rPr>
                <w:color w:val="212121"/>
                <w:sz w:val="16"/>
              </w:rPr>
              <w:t>"</w:t>
            </w:r>
            <w:r>
              <w:rPr>
                <w:color w:val="212121"/>
                <w:sz w:val="16"/>
              </w:rPr>
              <w:t xml:space="preserve"> </w:t>
            </w:r>
            <w:r>
              <w:rPr>
                <w:color w:val="212121"/>
                <w:sz w:val="16"/>
              </w:rPr>
              <w:t>车位占用监管</w:t>
            </w:r>
            <w:r>
              <w:rPr>
                <w:color w:val="212121"/>
                <w:sz w:val="16"/>
              </w:rPr>
              <w:t xml:space="preserve"> </w:t>
            </w:r>
            <w:r>
              <w:rPr>
                <w:color w:val="212121"/>
                <w:sz w:val="16"/>
              </w:rPr>
              <w:t>"</w:t>
            </w:r>
            <w:r>
              <w:rPr>
                <w:color w:val="212121"/>
                <w:sz w:val="16"/>
              </w:rPr>
              <w:t xml:space="preserve"> </w:t>
            </w:r>
            <w:r>
              <w:rPr>
                <w:color w:val="212121"/>
                <w:sz w:val="16"/>
              </w:rPr>
              <w:t>单独付费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面向</w:t>
            </w:r>
            <w:r>
              <w:rPr>
                <w:color w:val="212121"/>
                <w:sz w:val="16"/>
              </w:rPr>
              <w:t xml:space="preserve"> </w:t>
            </w:r>
            <w:r>
              <w:rPr>
                <w:color w:val="212121"/>
                <w:sz w:val="16"/>
              </w:rPr>
              <w:t xml:space="preserve"> 5–10 </w:t>
            </w:r>
            <w:r>
              <w:rPr>
                <w:color w:val="212121"/>
                <w:sz w:val="16"/>
              </w:rPr>
              <w:t xml:space="preserve"> </w:t>
            </w:r>
            <w:r>
              <w:rPr>
                <w:color w:val="212121"/>
                <w:sz w:val="16"/>
              </w:rPr>
              <w:t>位高校后勤与公共机构管理人员做定价访谈</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对外推广启动前</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200 </w:t>
            </w:r>
            <w:r>
              <w:rPr>
                <w:color w:val="212121"/>
                <w:sz w:val="16"/>
              </w:rPr>
              <w:t xml:space="preserve"> </w:t>
            </w:r>
            <w:r>
              <w:rPr>
                <w:color w:val="212121"/>
                <w:sz w:val="16"/>
              </w:rPr>
              <w:t>元</w:t>
            </w:r>
            <w:r>
              <w:rPr>
                <w:color w:val="212121"/>
                <w:sz w:val="16"/>
              </w:rPr>
              <w:t xml:space="preserve"> </w:t>
            </w:r>
            <w:r>
              <w:rPr>
                <w:color w:val="212121"/>
                <w:sz w:val="16"/>
              </w:rPr>
              <w:t>/</w:t>
            </w:r>
            <w:r>
              <w:rPr>
                <w:color w:val="212121"/>
                <w:sz w:val="16"/>
              </w:rPr>
              <w:t xml:space="preserve"> </w:t>
            </w:r>
            <w:r>
              <w:rPr>
                <w:color w:val="212121"/>
                <w:sz w:val="16"/>
              </w:rPr>
              <w:t>车位</w:t>
            </w:r>
            <w:r>
              <w:rPr>
                <w:color w:val="212121"/>
                <w:sz w:val="16"/>
              </w:rPr>
              <w:t xml:space="preserve"> </w:t>
            </w:r>
            <w:r>
              <w:rPr>
                <w:color w:val="212121"/>
                <w:sz w:val="16"/>
              </w:rPr>
              <w:t>·</w:t>
            </w:r>
            <w:r>
              <w:rPr>
                <w:color w:val="212121"/>
                <w:sz w:val="16"/>
              </w:rPr>
              <w:t xml:space="preserve"> </w:t>
            </w:r>
            <w:r>
              <w:rPr>
                <w:color w:val="212121"/>
                <w:sz w:val="16"/>
              </w:rPr>
              <w:t>年的价格是否落在预算科目内</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向目标客户索取信息化预算结构信息</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同上</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单场站</w:t>
            </w:r>
            <w:r>
              <w:rPr>
                <w:color w:val="212121"/>
                <w:sz w:val="16"/>
              </w:rPr>
              <w:t xml:space="preserve"> </w:t>
            </w:r>
            <w:r>
              <w:rPr>
                <w:color w:val="212121"/>
                <w:sz w:val="16"/>
              </w:rPr>
              <w:t xml:space="preserve"> 80 </w:t>
            </w:r>
            <w:r>
              <w:rPr>
                <w:color w:val="212121"/>
                <w:sz w:val="16"/>
              </w:rPr>
              <w:t xml:space="preserve"> </w:t>
            </w:r>
            <w:r>
              <w:rPr>
                <w:color w:val="212121"/>
                <w:sz w:val="16"/>
              </w:rPr>
              <w:t>个监管车位是否典型</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对</w:t>
            </w:r>
            <w:r>
              <w:rPr>
                <w:color w:val="212121"/>
                <w:sz w:val="16"/>
              </w:rPr>
              <w:t xml:space="preserve"> </w:t>
            </w:r>
            <w:r>
              <w:rPr>
                <w:color w:val="212121"/>
                <w:sz w:val="16"/>
              </w:rPr>
              <w:t xml:space="preserve"> 3–5 </w:t>
            </w:r>
            <w:r>
              <w:rPr>
                <w:color w:val="212121"/>
                <w:sz w:val="16"/>
              </w:rPr>
              <w:t xml:space="preserve"> </w:t>
            </w:r>
            <w:r>
              <w:rPr>
                <w:color w:val="212121"/>
                <w:sz w:val="16"/>
              </w:rPr>
              <w:t>个目标场站做现场车位与充电桩盘点</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同上</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检测模型商业授权的实际报价</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向</w:t>
            </w:r>
            <w:r>
              <w:rPr>
                <w:color w:val="212121"/>
                <w:sz w:val="16"/>
              </w:rPr>
              <w:t xml:space="preserve"> </w:t>
            </w:r>
            <w:r>
              <w:rPr>
                <w:color w:val="212121"/>
                <w:sz w:val="16"/>
              </w:rPr>
              <w:t xml:space="preserve"> Ultralytics </w:t>
            </w:r>
            <w:r>
              <w:rPr>
                <w:color w:val="212121"/>
                <w:sz w:val="16"/>
              </w:rPr>
              <w:t xml:space="preserve"> </w:t>
            </w:r>
            <w:r>
              <w:rPr>
                <w:color w:val="212121"/>
                <w:sz w:val="16"/>
              </w:rPr>
              <w:t>官方询价，并同步评估</w:t>
            </w:r>
            <w:r>
              <w:rPr>
                <w:color w:val="212121"/>
                <w:sz w:val="16"/>
              </w:rPr>
              <w:t xml:space="preserve"> </w:t>
            </w:r>
            <w:r>
              <w:rPr>
                <w:color w:val="212121"/>
                <w:sz w:val="16"/>
              </w:rPr>
              <w:t xml:space="preserve"> Apache-2.0 </w:t>
            </w:r>
            <w:r>
              <w:rPr>
                <w:color w:val="212121"/>
                <w:sz w:val="16"/>
              </w:rPr>
              <w:t xml:space="preserve"> </w:t>
            </w:r>
            <w:r>
              <w:rPr>
                <w:color w:val="212121"/>
                <w:sz w:val="16"/>
              </w:rPr>
              <w:t>替代方案的迁移工作量</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商业交付前</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新场站部署的实际人日数</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记录前</w:t>
            </w:r>
            <w:r>
              <w:rPr>
                <w:color w:val="212121"/>
                <w:sz w:val="16"/>
              </w:rPr>
              <w:t xml:space="preserve"> </w:t>
            </w:r>
            <w:r>
              <w:rPr>
                <w:color w:val="212121"/>
                <w:sz w:val="16"/>
              </w:rPr>
              <w:t xml:space="preserve"> 3 </w:t>
            </w:r>
            <w:r>
              <w:rPr>
                <w:color w:val="212121"/>
                <w:sz w:val="16"/>
              </w:rPr>
              <w:t xml:space="preserve"> </w:t>
            </w:r>
            <w:r>
              <w:rPr>
                <w:color w:val="212121"/>
                <w:sz w:val="16"/>
              </w:rPr>
              <w:t>个场站的完整工时</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首批交付后</w:t>
            </w:r>
          </w:p>
        </w:tc>
      </w:tr>
    </w:tbl>
    <w:p>
      <w:pPr>
        <w:pStyle w:val="Heading3"/>
        <w:spacing w:line="300" w:lineRule="auto"/>
      </w:pPr>
      <w:r>
        <w:rPr>
          <w:rFonts w:ascii="微软雅黑" w:hAnsi="微软雅黑" w:eastAsia="微软雅黑" w:cs="微软雅黑" w:hint="eastAsia"/>
          <w:b/>
          <w:color w:val="1565C0"/>
          <w:sz w:val="22"/>
          <w:lang w:eastAsia="zh-CN"/>
        </w:rPr>
        <w:t>9.3 关键决策点</w:t>
      </w:r>
    </w:p>
    <w:p>
      <w:pPr>
        <w:pStyle w:val="ListNumber"/>
        <w:numPr>
          <w:ilvl w:val="0"/>
          <w:numId w:val="18"/>
        </w:numPr>
        <w:spacing w:after="60"/>
        <w:jc w:val="both"/>
      </w:pPr>
      <w:r>
        <w:rPr>
          <w:rFonts w:ascii="微软雅黑" w:eastAsia="微软雅黑" w:hAnsi="微软雅黑" w:cs="微软雅黑" w:hint="eastAsia"/>
          <w:b/>
          <w:sz w:val="20"/>
          <w:lang w:eastAsia="zh-CN"/>
        </w:rPr>
        <w:t>对外商业交付前</w:t>
      </w:r>
      <w:r>
        <w:rPr>
          <w:sz w:val="20"/>
        </w:rPr>
        <w:t>——</w:t>
      </w:r>
      <w:r>
        <w:rPr>
          <w:rFonts w:ascii="微软雅黑" w:eastAsia="微软雅黑" w:hAnsi="微软雅黑" w:cs="微软雅黑" w:hint="eastAsia"/>
          <w:sz w:val="20"/>
          <w:lang w:eastAsia="zh-CN"/>
        </w:rPr>
        <w:t>检测模型许可问题必须闭环（取得授权或完成替代方案迁移）。这是不可推迟的合规硬约束，不解决则不能签署商业合同。</w:t>
      </w:r>
    </w:p>
    <w:p>
      <w:pPr>
        <w:pStyle w:val="ListNumber"/>
        <w:numPr>
          <w:ilvl w:val="0"/>
          <w:numId w:val="18"/>
        </w:numPr>
        <w:spacing w:after="60"/>
        <w:jc w:val="both"/>
      </w:pPr>
      <w:r>
        <w:rPr>
          <w:rFonts w:ascii="微软雅黑" w:eastAsia="微软雅黑" w:hAnsi="微软雅黑" w:cs="微软雅黑" w:hint="eastAsia"/>
          <w:b/>
          <w:sz w:val="20"/>
          <w:lang w:eastAsia="zh-CN"/>
        </w:rPr>
        <w:t>首批 3 个场站交付后</w:t>
      </w:r>
      <w:r>
        <w:rPr>
          <w:sz w:val="20"/>
        </w:rPr>
        <w:t>——</w:t>
      </w:r>
      <w:r>
        <w:rPr>
          <w:rFonts w:ascii="微软雅黑" w:eastAsia="微软雅黑" w:hAnsi="微软雅黑" w:cs="微软雅黑" w:hint="eastAsia"/>
          <w:sz w:val="20"/>
          <w:lang w:eastAsia="zh-CN"/>
        </w:rPr>
        <w:t>复核单场站实际交付成本与部署人日。若显著高于假设，需要重新定价或改变交付方式（例如转为远程部署</w:t>
      </w:r>
      <w:r>
        <w:rPr>
          <w:sz w:val="20"/>
        </w:rPr>
        <w:t xml:space="preserve"> + </w:t>
      </w:r>
      <w:r>
        <w:rPr>
          <w:rFonts w:ascii="微软雅黑" w:eastAsia="微软雅黑" w:hAnsi="微软雅黑" w:cs="微软雅黑" w:hint="eastAsia"/>
          <w:sz w:val="20"/>
          <w:lang w:eastAsia="zh-CN"/>
        </w:rPr>
        <w:t>客户自助实施）。</w:t>
      </w:r>
    </w:p>
    <w:p>
      <w:pPr>
        <w:pStyle w:val="ListNumber"/>
        <w:numPr>
          <w:ilvl w:val="0"/>
          <w:numId w:val="18"/>
        </w:numPr>
        <w:spacing w:after="60"/>
        <w:jc w:val="both"/>
      </w:pPr>
      <w:r>
        <w:rPr>
          <w:rFonts w:ascii="微软雅黑" w:eastAsia="微软雅黑" w:hAnsi="微软雅黑" w:cs="微软雅黑" w:hint="eastAsia"/>
          <w:b/>
          <w:sz w:val="20"/>
          <w:lang w:eastAsia="zh-CN"/>
        </w:rPr>
        <w:t>第 2 年末</w:t>
      </w:r>
      <w:r>
        <w:rPr>
          <w:sz w:val="20"/>
        </w:rPr>
        <w:t>——</w:t>
      </w:r>
      <w:r>
        <w:rPr>
          <w:rFonts w:ascii="微软雅黑" w:eastAsia="微软雅黑" w:hAnsi="微软雅黑" w:cs="微软雅黑" w:hint="eastAsia"/>
          <w:sz w:val="20"/>
          <w:lang w:eastAsia="zh-CN"/>
        </w:rPr>
        <w:t>评估外部客户收入占比。若低于预期，需要重新审视渠道策略，优先投入系统集成商渠道。</w:t>
      </w:r>
    </w:p>
    <w:p>
      <w:bookmarkStart w:id="21" w:name="_Toc_section_10"/>
      <w:bookmarkStart w:id="9" w:name="section-10"/>
      <w:pPr>
        <w:pStyle w:val="Heading2"/>
        <w:spacing w:line="300" w:lineRule="auto"/>
      </w:pPr>
      <w:bookmarkEnd w:id="9"/>
      <w:r>
        <w:rPr>
          <w:rFonts w:ascii="微软雅黑" w:hAnsi="微软雅黑" w:eastAsia="微软雅黑" w:cs="微软雅黑" w:hint="eastAsia"/>
          <w:b/>
          <w:color w:val="1A237E"/>
          <w:sz w:val="26"/>
          <w:lang w:eastAsia="zh-CN"/>
        </w:rPr>
        <w:t>十、预期成果与社会效益</w:t>
      </w:r>
      <w:bookmarkEnd w:id="21"/>
    </w:p>
    <w:p>
      <w:pPr>
        <w:jc w:val="both"/>
      </w:pPr>
      <w:r>
        <w:rPr>
          <w:rFonts w:ascii="微软雅黑" w:eastAsia="微软雅黑" w:hAnsi="微软雅黑" w:cs="微软雅黑" w:hint="eastAsia"/>
          <w:sz w:val="20"/>
          <w:lang w:eastAsia="zh-CN"/>
        </w:rPr>
        <w:t>本章说明项目交付的成果形式、社会效益与长期发展愿景。</w:t>
      </w:r>
    </w:p>
    <w:p>
      <w:pPr>
        <w:pStyle w:val="Heading3"/>
        <w:spacing w:line="300" w:lineRule="auto"/>
      </w:pPr>
      <w:r>
        <w:rPr>
          <w:rFonts w:ascii="微软雅黑" w:hAnsi="微软雅黑" w:eastAsia="微软雅黑" w:cs="微软雅黑" w:hint="eastAsia"/>
          <w:b/>
          <w:color w:val="1565C0"/>
          <w:sz w:val="22"/>
          <w:lang w:eastAsia="zh-CN"/>
        </w:rPr>
        <w:t>10.1 成果形式</w:t>
      </w:r>
    </w:p>
    <w:p>
      <w:pPr>
        <w:pStyle w:val="ListBullet"/>
        <w:spacing w:after="60"/>
        <w:jc w:val="both"/>
      </w:pPr>
      <w:r>
        <w:rPr>
          <w:rFonts w:ascii="微软雅黑" w:eastAsia="微软雅黑" w:hAnsi="微软雅黑" w:cs="微软雅黑" w:hint="eastAsia"/>
          <w:sz w:val="20"/>
          <w:lang w:eastAsia="zh-CN"/>
        </w:rPr>
        <w:t>一套可完整演示的校园充电桩车位防占智能管理系统（后端服务</w:t>
      </w:r>
      <w:r>
        <w:rPr>
          <w:sz w:val="20"/>
        </w:rPr>
        <w:t xml:space="preserve"> + </w:t>
      </w:r>
      <w:r>
        <w:rPr>
          <w:rFonts w:ascii="微软雅黑" w:eastAsia="微软雅黑" w:hAnsi="微软雅黑" w:cs="微软雅黑" w:hint="eastAsia"/>
          <w:sz w:val="20"/>
          <w:lang w:eastAsia="zh-CN"/>
        </w:rPr>
        <w:t>六页管理后台</w:t>
      </w:r>
      <w:r>
        <w:rPr>
          <w:sz w:val="20"/>
        </w:rPr>
        <w:t xml:space="preserve"> + </w:t>
      </w:r>
      <w:r>
        <w:rPr>
          <w:rFonts w:ascii="微软雅黑" w:eastAsia="微软雅黑" w:hAnsi="微软雅黑" w:cs="微软雅黑" w:hint="eastAsia"/>
          <w:sz w:val="20"/>
          <w:lang w:eastAsia="zh-CN"/>
        </w:rPr>
        <w:t>算法模块）；</w:t>
      </w:r>
    </w:p>
    <w:p>
      <w:pPr>
        <w:pStyle w:val="ListBullet"/>
        <w:spacing w:after="60"/>
        <w:jc w:val="both"/>
      </w:pPr>
      <w:r>
        <w:rPr>
          <w:rFonts w:ascii="微软雅黑" w:eastAsia="微软雅黑" w:hAnsi="微软雅黑" w:cs="微软雅黑" w:hint="eastAsia"/>
          <w:sz w:val="20"/>
          <w:lang w:eastAsia="zh-CN"/>
        </w:rPr>
        <w:t>车辆检测、车牌识别、充电状态融合、违规判断、短信提醒等核心功能模块；</w:t>
      </w:r>
    </w:p>
    <w:p>
      <w:pPr>
        <w:pStyle w:val="ListBullet"/>
        <w:spacing w:after="60"/>
        <w:jc w:val="both"/>
      </w:pPr>
      <w:r>
        <w:rPr>
          <w:rFonts w:ascii="微软雅黑" w:eastAsia="微软雅黑" w:hAnsi="微软雅黑" w:cs="微软雅黑" w:hint="eastAsia"/>
          <w:sz w:val="20"/>
          <w:lang w:eastAsia="zh-CN"/>
        </w:rPr>
        <w:t>项目技术报告、用户使用说明书、结题报告；</w:t>
      </w:r>
    </w:p>
    <w:p>
      <w:pPr>
        <w:pStyle w:val="ListBullet"/>
        <w:spacing w:after="60"/>
        <w:jc w:val="both"/>
      </w:pPr>
      <w:r>
        <w:rPr>
          <w:rFonts w:ascii="微软雅黑" w:eastAsia="微软雅黑" w:hAnsi="微软雅黑" w:cs="微软雅黑" w:hint="eastAsia"/>
          <w:sz w:val="20"/>
          <w:lang w:eastAsia="zh-CN"/>
        </w:rPr>
        <w:t>计算机软件著作权（条件允许时申请实用新型专利）；</w:t>
      </w:r>
    </w:p>
    <w:p>
      <w:pPr>
        <w:pStyle w:val="ListBullet"/>
        <w:spacing w:after="60"/>
        <w:jc w:val="both"/>
      </w:pPr>
      <w:r>
        <w:rPr>
          <w:rFonts w:ascii="微软雅黑" w:eastAsia="微软雅黑" w:hAnsi="微软雅黑" w:cs="微软雅黑" w:hint="eastAsia"/>
          <w:sz w:val="20"/>
          <w:lang w:eastAsia="zh-CN"/>
        </w:rPr>
        <w:t>创新创业竞赛参赛材料及本商业计划书。</w:t>
      </w:r>
    </w:p>
    <w:p>
      <w:pPr>
        <w:pStyle w:val="Heading3"/>
        <w:spacing w:line="300" w:lineRule="auto"/>
      </w:pPr>
      <w:r>
        <w:rPr>
          <w:rFonts w:ascii="微软雅黑" w:hAnsi="微软雅黑" w:eastAsia="微软雅黑" w:cs="微软雅黑" w:hint="eastAsia"/>
          <w:b/>
          <w:color w:val="1565C0"/>
          <w:sz w:val="22"/>
          <w:lang w:eastAsia="zh-CN"/>
        </w:rPr>
        <w:t>10.2 社会效益</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维度</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效益</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绿色低碳</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提高单位充电设施的服务车次，让已建成的充电桩真正被用上，减少</w:t>
            </w:r>
            <w:r>
              <w:rPr>
                <w:color w:val="212121"/>
                <w:sz w:val="16"/>
              </w:rPr>
              <w:t xml:space="preserve"> </w:t>
            </w:r>
            <w:r>
              <w:rPr>
                <w:color w:val="212121"/>
                <w:sz w:val="16"/>
              </w:rPr>
              <w:t>"</w:t>
            </w:r>
            <w:r>
              <w:rPr>
                <w:color w:val="212121"/>
                <w:sz w:val="16"/>
              </w:rPr>
              <w:t xml:space="preserve"> </w:t>
            </w:r>
            <w:r>
              <w:rPr>
                <w:color w:val="212121"/>
                <w:sz w:val="16"/>
              </w:rPr>
              <w:t>设施闲置</w:t>
            </w:r>
            <w:r>
              <w:rPr>
                <w:color w:val="212121"/>
                <w:sz w:val="16"/>
              </w:rPr>
              <w:t xml:space="preserve"> </w:t>
            </w:r>
            <w:r>
              <w:rPr>
                <w:color w:val="212121"/>
                <w:sz w:val="16"/>
              </w:rPr>
              <w:t xml:space="preserve"> + </w:t>
            </w:r>
            <w:r>
              <w:rPr>
                <w:color w:val="212121"/>
                <w:sz w:val="16"/>
              </w:rPr>
              <w:t xml:space="preserve"> </w:t>
            </w:r>
            <w:r>
              <w:rPr>
                <w:color w:val="212121"/>
                <w:sz w:val="16"/>
              </w:rPr>
              <w:t>用户排队</w:t>
            </w:r>
            <w:r>
              <w:rPr>
                <w:color w:val="212121"/>
                <w:sz w:val="16"/>
              </w:rPr>
              <w:t xml:space="preserve"> </w:t>
            </w:r>
            <w:r>
              <w:rPr>
                <w:color w:val="212121"/>
                <w:sz w:val="16"/>
              </w:rPr>
              <w:t>"</w:t>
            </w:r>
            <w:r>
              <w:rPr>
                <w:color w:val="212121"/>
                <w:sz w:val="16"/>
              </w:rPr>
              <w:t xml:space="preserve"> </w:t>
            </w:r>
            <w:r>
              <w:rPr>
                <w:color w:val="212121"/>
                <w:sz w:val="16"/>
              </w:rPr>
              <w:t>并存的结构性浪费</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公共资源公平</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公共机构充电设施按政策要求向社会开放后，占用监管是</w:t>
            </w:r>
            <w:r>
              <w:rPr>
                <w:color w:val="212121"/>
                <w:sz w:val="16"/>
              </w:rPr>
              <w:t xml:space="preserve"> </w:t>
            </w:r>
            <w:r>
              <w:rPr>
                <w:color w:val="212121"/>
                <w:sz w:val="16"/>
              </w:rPr>
              <w:t>"</w:t>
            </w:r>
            <w:r>
              <w:rPr>
                <w:color w:val="212121"/>
                <w:sz w:val="16"/>
              </w:rPr>
              <w:t xml:space="preserve"> </w:t>
            </w:r>
            <w:r>
              <w:rPr>
                <w:color w:val="212121"/>
                <w:sz w:val="16"/>
              </w:rPr>
              <w:t>开放</w:t>
            </w:r>
            <w:r>
              <w:rPr>
                <w:color w:val="212121"/>
                <w:sz w:val="16"/>
              </w:rPr>
              <w:t xml:space="preserve"> </w:t>
            </w:r>
            <w:r>
              <w:rPr>
                <w:color w:val="212121"/>
                <w:sz w:val="16"/>
              </w:rPr>
              <w:t>"</w:t>
            </w:r>
            <w:r>
              <w:rPr>
                <w:color w:val="212121"/>
                <w:sz w:val="16"/>
              </w:rPr>
              <w:t xml:space="preserve"> </w:t>
            </w:r>
            <w:r>
              <w:rPr>
                <w:color w:val="212121"/>
                <w:sz w:val="16"/>
              </w:rPr>
              <w:t>能够持续的前提；缺少秩序，开放就难以落地</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校园治理数字化</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把车位管理从</w:t>
            </w:r>
            <w:r>
              <w:rPr>
                <w:color w:val="212121"/>
                <w:sz w:val="16"/>
              </w:rPr>
              <w:t xml:space="preserve"> </w:t>
            </w:r>
            <w:r>
              <w:rPr>
                <w:color w:val="212121"/>
                <w:sz w:val="16"/>
              </w:rPr>
              <w:t>"</w:t>
            </w:r>
            <w:r>
              <w:rPr>
                <w:color w:val="212121"/>
                <w:sz w:val="16"/>
              </w:rPr>
              <w:t xml:space="preserve"> </w:t>
            </w:r>
            <w:r>
              <w:rPr>
                <w:color w:val="212121"/>
                <w:sz w:val="16"/>
              </w:rPr>
              <w:t>人管</w:t>
            </w:r>
            <w:r>
              <w:rPr>
                <w:color w:val="212121"/>
                <w:sz w:val="16"/>
              </w:rPr>
              <w:t xml:space="preserve"> </w:t>
            </w:r>
            <w:r>
              <w:rPr>
                <w:color w:val="212121"/>
                <w:sz w:val="16"/>
              </w:rPr>
              <w:t>"</w:t>
            </w:r>
            <w:r>
              <w:rPr>
                <w:color w:val="212121"/>
                <w:sz w:val="16"/>
              </w:rPr>
              <w:t xml:space="preserve"> </w:t>
            </w:r>
            <w:r>
              <w:rPr>
                <w:color w:val="212121"/>
                <w:sz w:val="16"/>
              </w:rPr>
              <w:t>推向</w:t>
            </w:r>
            <w:r>
              <w:rPr>
                <w:color w:val="212121"/>
                <w:sz w:val="16"/>
              </w:rPr>
              <w:t xml:space="preserve"> </w:t>
            </w:r>
            <w:r>
              <w:rPr>
                <w:color w:val="212121"/>
                <w:sz w:val="16"/>
              </w:rPr>
              <w:t>"</w:t>
            </w:r>
            <w:r>
              <w:rPr>
                <w:color w:val="212121"/>
                <w:sz w:val="16"/>
              </w:rPr>
              <w:t xml:space="preserve"> </w:t>
            </w:r>
            <w:r>
              <w:rPr>
                <w:color w:val="212121"/>
                <w:sz w:val="16"/>
              </w:rPr>
              <w:t>数管</w:t>
            </w:r>
            <w:r>
              <w:rPr>
                <w:color w:val="212121"/>
                <w:sz w:val="16"/>
              </w:rPr>
              <w:t xml:space="preserve"> </w:t>
            </w:r>
            <w:r>
              <w:rPr>
                <w:color w:val="212121"/>
                <w:sz w:val="16"/>
              </w:rPr>
              <w:t>"</w:t>
            </w:r>
            <w:r>
              <w:rPr>
                <w:color w:val="212121"/>
                <w:sz w:val="16"/>
              </w:rPr>
              <w:t xml:space="preserve"> </w:t>
            </w:r>
            <w:r>
              <w:rPr>
                <w:color w:val="212121"/>
                <w:sz w:val="16"/>
              </w:rPr>
              <w:t>，形成可统计、可考核、可追溯的记录，为车位规划与充电桩扩容提供数据依据</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管理成本</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违规发现由人工巡查转为自动识别与主动提醒，直接降低巡查人力投入</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育人价值</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团队成员在真实需求下完成从需求分析、契约设计、算法实现到交付验收的完整工程训练，成员的技术能力与工程规范意识得到系统锻炼</w:t>
            </w:r>
          </w:p>
        </w:tc>
      </w:tr>
    </w:tbl>
    <w:p>
      <w:pPr>
        <w:pStyle w:val="Heading3"/>
        <w:spacing w:line="300" w:lineRule="auto"/>
      </w:pPr>
      <w:r>
        <w:rPr>
          <w:rFonts w:ascii="微软雅黑" w:hAnsi="微软雅黑" w:eastAsia="微软雅黑" w:cs="微软雅黑" w:hint="eastAsia"/>
          <w:b/>
          <w:color w:val="1565C0"/>
          <w:sz w:val="22"/>
          <w:lang w:eastAsia="zh-CN"/>
        </w:rPr>
        <w:t>10.3 发展愿景</w:t>
      </w:r>
    </w:p>
    <w:p>
      <w:pPr>
        <w:jc w:val="both"/>
      </w:pPr>
      <w:r>
        <w:rPr>
          <w:rFonts w:ascii="微软雅黑" w:eastAsia="微软雅黑" w:hAnsi="微软雅黑" w:cs="微软雅黑" w:hint="eastAsia"/>
          <w:b/>
          <w:sz w:val="20"/>
          <w:lang w:eastAsia="zh-CN"/>
        </w:rPr>
        <w:t>短期</w:t>
      </w:r>
      <w:r>
        <w:rPr>
          <w:rFonts w:ascii="微软雅黑" w:eastAsia="微软雅黑" w:hAnsi="微软雅黑" w:cs="微软雅黑" w:hint="eastAsia"/>
          <w:sz w:val="20"/>
          <w:lang w:eastAsia="zh-CN"/>
        </w:rPr>
        <w:t>：把校园充电车位的管理从</w:t>
      </w:r>
      <w:r>
        <w:rPr>
          <w:sz w:val="20"/>
        </w:rPr>
        <w:t>"</w:t>
      </w:r>
      <w:r>
        <w:rPr>
          <w:rFonts w:ascii="微软雅黑" w:eastAsia="微软雅黑" w:hAnsi="微软雅黑" w:cs="微软雅黑" w:hint="eastAsia"/>
          <w:sz w:val="20"/>
          <w:lang w:eastAsia="zh-CN"/>
        </w:rPr>
        <w:t>人管</w:t>
      </w:r>
      <w:r>
        <w:rPr>
          <w:sz w:val="20"/>
        </w:rPr>
        <w:t>"</w:t>
      </w:r>
      <w:r>
        <w:rPr>
          <w:rFonts w:ascii="微软雅黑" w:eastAsia="微软雅黑" w:hAnsi="微软雅黑" w:cs="微软雅黑" w:hint="eastAsia"/>
          <w:sz w:val="20"/>
          <w:lang w:eastAsia="zh-CN"/>
        </w:rPr>
        <w:t>推向</w:t>
      </w:r>
      <w:r>
        <w:rPr>
          <w:sz w:val="20"/>
        </w:rPr>
        <w:t>"</w:t>
      </w:r>
      <w:r>
        <w:rPr>
          <w:rFonts w:ascii="微软雅黑" w:eastAsia="微软雅黑" w:hAnsi="微软雅黑" w:cs="微软雅黑" w:hint="eastAsia"/>
          <w:sz w:val="20"/>
          <w:lang w:eastAsia="zh-CN"/>
        </w:rPr>
        <w:t>数管</w:t>
      </w:r>
      <w:r>
        <w:rPr>
          <w:sz w:val="20"/>
        </w:rPr>
        <w:t>"</w:t>
      </w:r>
      <w:r>
        <w:rPr>
          <w:rFonts w:ascii="微软雅黑" w:eastAsia="微软雅黑" w:hAnsi="微软雅黑" w:cs="微软雅黑" w:hint="eastAsia"/>
          <w:sz w:val="20"/>
          <w:lang w:eastAsia="zh-CN"/>
        </w:rPr>
        <w:t>，以</w:t>
      </w:r>
      <w:r>
        <w:rPr>
          <w:sz w:val="20"/>
        </w:rPr>
        <w:t>"</w:t>
      </w:r>
      <w:r>
        <w:rPr>
          <w:rFonts w:ascii="微软雅黑" w:eastAsia="微软雅黑" w:hAnsi="微软雅黑" w:cs="微软雅黑" w:hint="eastAsia"/>
          <w:sz w:val="20"/>
          <w:lang w:eastAsia="zh-CN"/>
        </w:rPr>
        <w:t>识别</w:t>
      </w:r>
      <w:r>
        <w:rPr>
          <w:sz w:val="20"/>
        </w:rPr>
        <w:t>—</w:t>
      </w:r>
      <w:r>
        <w:rPr>
          <w:rFonts w:ascii="微软雅黑" w:eastAsia="微软雅黑" w:hAnsi="微软雅黑" w:cs="微软雅黑" w:hint="eastAsia"/>
          <w:sz w:val="20"/>
          <w:lang w:eastAsia="zh-CN"/>
        </w:rPr>
        <w:t>判断</w:t>
      </w:r>
      <w:r>
        <w:rPr>
          <w:sz w:val="20"/>
        </w:rPr>
        <w:t>—</w:t>
      </w:r>
      <w:r>
        <w:rPr>
          <w:rFonts w:ascii="微软雅黑" w:eastAsia="微软雅黑" w:hAnsi="微软雅黑" w:cs="微软雅黑" w:hint="eastAsia"/>
          <w:sz w:val="20"/>
          <w:lang w:eastAsia="zh-CN"/>
        </w:rPr>
        <w:t>提醒</w:t>
      </w:r>
      <w:r>
        <w:rPr>
          <w:sz w:val="20"/>
        </w:rPr>
        <w:t>"</w:t>
      </w:r>
      <w:r>
        <w:rPr>
          <w:rFonts w:ascii="微软雅黑" w:eastAsia="微软雅黑" w:hAnsi="微软雅黑" w:cs="微软雅黑" w:hint="eastAsia"/>
          <w:sz w:val="20"/>
          <w:lang w:eastAsia="zh-CN"/>
        </w:rPr>
        <w:t>的自动闭环提升车位周转率、降低巡查成本。</w:t>
      </w:r>
    </w:p>
    <w:p>
      <w:pPr>
        <w:jc w:val="both"/>
      </w:pPr>
      <w:r>
        <w:rPr>
          <w:rFonts w:ascii="微软雅黑" w:eastAsia="微软雅黑" w:hAnsi="微软雅黑" w:cs="微软雅黑" w:hint="eastAsia"/>
          <w:b/>
          <w:sz w:val="20"/>
          <w:lang w:eastAsia="zh-CN"/>
        </w:rPr>
        <w:t>中期</w:t>
      </w:r>
      <w:r>
        <w:rPr>
          <w:rFonts w:ascii="微软雅黑" w:eastAsia="微软雅黑" w:hAnsi="微软雅黑" w:cs="微软雅黑" w:hint="eastAsia"/>
          <w:sz w:val="20"/>
          <w:lang w:eastAsia="zh-CN"/>
        </w:rPr>
        <w:t>：形成一套低成本、可复制、可裁剪的智慧场站方案，从校园走向党政机关、医院、文体场馆与商业园区，成为公共机构落实充电设施运行管理要求时的可选工具。</w:t>
      </w:r>
    </w:p>
    <w:p>
      <w:pPr>
        <w:jc w:val="both"/>
      </w:pPr>
      <w:r>
        <w:rPr>
          <w:rFonts w:ascii="微软雅黑" w:eastAsia="微软雅黑" w:hAnsi="微软雅黑" w:cs="微软雅黑" w:hint="eastAsia"/>
          <w:b/>
          <w:sz w:val="20"/>
          <w:lang w:eastAsia="zh-CN"/>
        </w:rPr>
        <w:t>长期</w:t>
      </w:r>
      <w:r>
        <w:rPr>
          <w:rFonts w:ascii="微软雅黑" w:eastAsia="微软雅黑" w:hAnsi="微软雅黑" w:cs="微软雅黑" w:hint="eastAsia"/>
          <w:sz w:val="20"/>
          <w:lang w:eastAsia="zh-CN"/>
        </w:rPr>
        <w:t>：沉淀</w:t>
      </w:r>
      <w:r>
        <w:rPr>
          <w:sz w:val="20"/>
        </w:rPr>
        <w:t>"</w:t>
      </w:r>
      <w:r>
        <w:rPr>
          <w:rFonts w:ascii="微软雅黑" w:eastAsia="微软雅黑" w:hAnsi="微软雅黑" w:cs="微软雅黑" w:hint="eastAsia"/>
          <w:sz w:val="20"/>
          <w:lang w:eastAsia="zh-CN"/>
        </w:rPr>
        <w:t>视觉识别</w:t>
      </w:r>
      <w:r>
        <w:rPr>
          <w:sz w:val="20"/>
        </w:rPr>
        <w:t xml:space="preserve"> + </w:t>
      </w:r>
      <w:r>
        <w:rPr>
          <w:rFonts w:ascii="微软雅黑" w:eastAsia="微软雅黑" w:hAnsi="微软雅黑" w:cs="微软雅黑" w:hint="eastAsia"/>
          <w:sz w:val="20"/>
          <w:lang w:eastAsia="zh-CN"/>
        </w:rPr>
        <w:t>设备状态</w:t>
      </w:r>
      <w:r>
        <w:rPr>
          <w:sz w:val="20"/>
        </w:rPr>
        <w:t>"</w:t>
      </w:r>
      <w:r>
        <w:rPr>
          <w:rFonts w:ascii="微软雅黑" w:eastAsia="微软雅黑" w:hAnsi="微软雅黑" w:cs="微软雅黑" w:hint="eastAsia"/>
          <w:sz w:val="20"/>
          <w:lang w:eastAsia="zh-CN"/>
        </w:rPr>
        <w:t>融合判断的方法论。这套方法的价值不限于充电车位</w:t>
      </w:r>
      <w:r>
        <w:rPr>
          <w:sz w:val="20"/>
        </w:rPr>
        <w:t>——</w:t>
      </w:r>
      <w:r>
        <w:rPr>
          <w:rFonts w:ascii="微软雅黑" w:eastAsia="微软雅黑" w:hAnsi="微软雅黑" w:cs="微软雅黑" w:hint="eastAsia"/>
          <w:sz w:val="20"/>
          <w:lang w:eastAsia="zh-CN"/>
        </w:rPr>
        <w:t>凡需要区分</w:t>
      </w:r>
      <w:r>
        <w:rPr>
          <w:sz w:val="20"/>
        </w:rPr>
        <w:t>"</w:t>
      </w:r>
      <w:r>
        <w:rPr>
          <w:rFonts w:ascii="微软雅黑" w:eastAsia="微软雅黑" w:hAnsi="微软雅黑" w:cs="微软雅黑" w:hint="eastAsia"/>
          <w:sz w:val="20"/>
          <w:lang w:eastAsia="zh-CN"/>
        </w:rPr>
        <w:t>合法占用</w:t>
      </w:r>
      <w:r>
        <w:rPr>
          <w:sz w:val="20"/>
        </w:rPr>
        <w:t>"</w:t>
      </w:r>
      <w:r>
        <w:rPr>
          <w:rFonts w:ascii="微软雅黑" w:eastAsia="微软雅黑" w:hAnsi="微软雅黑" w:cs="微软雅黑" w:hint="eastAsia"/>
          <w:sz w:val="20"/>
          <w:lang w:eastAsia="zh-CN"/>
        </w:rPr>
        <w:t>与</w:t>
      </w:r>
      <w:r>
        <w:rPr>
          <w:sz w:val="20"/>
        </w:rPr>
        <w:t>"</w:t>
      </w:r>
      <w:r>
        <w:rPr>
          <w:rFonts w:ascii="微软雅黑" w:eastAsia="微软雅黑" w:hAnsi="微软雅黑" w:cs="微软雅黑" w:hint="eastAsia"/>
          <w:sz w:val="20"/>
          <w:lang w:eastAsia="zh-CN"/>
        </w:rPr>
        <w:t>违规占用</w:t>
      </w:r>
      <w:r>
        <w:rPr>
          <w:sz w:val="20"/>
        </w:rPr>
        <w:t>"</w:t>
      </w:r>
      <w:r>
        <w:rPr>
          <w:rFonts w:ascii="微软雅黑" w:eastAsia="微软雅黑" w:hAnsi="微软雅黑" w:cs="微软雅黑" w:hint="eastAsia"/>
          <w:sz w:val="20"/>
          <w:lang w:eastAsia="zh-CN"/>
        </w:rPr>
        <w:t>的场景（专用车位、无障碍车位、装卸货位、消防通道）都存在同类问题。长期目标是把这套判断能力做成可复用的基础模块，而本项目是其第一个落地场景。</w:t>
      </w:r>
    </w:p>
    <w:p>
      <w:bookmarkStart w:id="22" w:name="_Toc_section_11"/>
      <w:bookmarkStart w:id="10" w:name="section-11"/>
      <w:pPr>
        <w:pStyle w:val="Heading2"/>
        <w:spacing w:line="300" w:lineRule="auto"/>
      </w:pPr>
      <w:bookmarkEnd w:id="10"/>
      <w:r>
        <w:rPr>
          <w:rFonts w:ascii="微软雅黑" w:hAnsi="微软雅黑" w:eastAsia="微软雅黑" w:cs="微软雅黑" w:hint="eastAsia"/>
          <w:b/>
          <w:color w:val="1A237E"/>
          <w:sz w:val="26"/>
          <w:lang w:eastAsia="zh-CN"/>
        </w:rPr>
        <w:t>附录一、技术指标与验收门槛</w:t>
      </w:r>
      <w:bookmarkEnd w:id="22"/>
    </w:p>
    <w:p>
      <w:pPr>
        <w:jc w:val="both"/>
      </w:pPr>
      <w:r>
        <w:rPr>
          <w:rFonts w:ascii="微软雅黑" w:eastAsia="微软雅黑" w:hAnsi="微软雅黑" w:cs="微软雅黑" w:hint="eastAsia"/>
          <w:sz w:val="20"/>
          <w:lang w:eastAsia="zh-CN"/>
        </w:rPr>
        <w:t>以下指标为项目立项约定的验收硬门槛，也是产品对外交付的质量承诺底线：</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序号</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center"/>
              <w:spacing w:line="240" w:lineRule="auto" w:before="40" w:after="40"/>
            </w:pPr>
            <w:r>
              <w:rPr>
                <w:rFonts w:ascii="微软雅黑" w:hAnsi="微软雅黑" w:eastAsia="微软雅黑" w:hint="eastAsia"/>
                <w:b/>
                <w:color w:val="1A237E"/>
                <w:sz w:val="16"/>
              </w:rPr>
              <w:t>指标</w:t>
            </w:r>
          </w:p>
        </w:tc>
        <w:tc>
          <w:tcPr>
            <w:tcW w:type="dxa" w:w="288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center"/>
              <w:spacing w:line="240" w:lineRule="auto" w:before="40" w:after="40"/>
            </w:pPr>
            <w:r>
              <w:rPr>
                <w:rFonts w:ascii="微软雅黑" w:hAnsi="微软雅黑" w:eastAsia="微软雅黑" w:hint="eastAsia"/>
                <w:b/>
                <w:color w:val="1A237E"/>
                <w:sz w:val="16"/>
              </w:rPr>
              <w:t>目标值</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1</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车辆检测准确率</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 95%</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2</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车牌识别准确率</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 95%</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3</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燃油车占位识别准确率</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 95%</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4</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充满未移车识别准确率</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 90%</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5</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报警响应时间</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 xml:space="preserve">≤ 5 </w:t>
            </w:r>
            <w:r>
              <w:rPr>
                <w:color w:val="212121"/>
                <w:sz w:val="16"/>
              </w:rPr>
              <w:t xml:space="preserve"> </w:t>
            </w:r>
            <w:r>
              <w:rPr>
                <w:color w:val="212121"/>
                <w:sz w:val="16"/>
              </w:rPr>
              <w:t>秒</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6</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系统连续稳定运行时间</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 xml:space="preserve">≥ 24 </w:t>
            </w:r>
            <w:r>
              <w:rPr>
                <w:color w:val="212121"/>
                <w:sz w:val="16"/>
              </w:rPr>
              <w:t xml:space="preserve"> </w:t>
            </w:r>
            <w:r>
              <w:rPr>
                <w:color w:val="212121"/>
                <w:sz w:val="16"/>
              </w:rPr>
              <w:t>小时</w:t>
            </w:r>
          </w:p>
        </w:tc>
      </w:tr>
      <w:tr>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7</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业务闭环完整性</w:t>
            </w:r>
          </w:p>
        </w:tc>
        <w:tc>
          <w:tcPr>
            <w:tcW w:type="dxa" w:w="288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center"/>
              <w:spacing w:line="240" w:lineRule="auto" w:before="20" w:after="20"/>
            </w:pPr>
            <w:r>
              <w:rPr>
                <w:color w:val="212121"/>
                <w:sz w:val="16"/>
              </w:rPr>
              <w:t>"</w:t>
            </w:r>
            <w:r>
              <w:rPr>
                <w:color w:val="212121"/>
                <w:sz w:val="16"/>
              </w:rPr>
              <w:t xml:space="preserve"> </w:t>
            </w:r>
            <w:r>
              <w:rPr>
                <w:color w:val="212121"/>
                <w:sz w:val="16"/>
              </w:rPr>
              <w:t>车辆识别</w:t>
            </w:r>
            <w:r>
              <w:rPr>
                <w:color w:val="212121"/>
                <w:sz w:val="16"/>
              </w:rPr>
              <w:t xml:space="preserve"> </w:t>
            </w:r>
            <w:r>
              <w:rPr>
                <w:color w:val="212121"/>
                <w:sz w:val="16"/>
              </w:rPr>
              <w:t>—</w:t>
            </w:r>
            <w:r>
              <w:rPr>
                <w:color w:val="212121"/>
                <w:sz w:val="16"/>
              </w:rPr>
              <w:t xml:space="preserve"> </w:t>
            </w:r>
            <w:r>
              <w:rPr>
                <w:color w:val="212121"/>
                <w:sz w:val="16"/>
              </w:rPr>
              <w:t>状态判断</w:t>
            </w:r>
            <w:r>
              <w:rPr>
                <w:color w:val="212121"/>
                <w:sz w:val="16"/>
              </w:rPr>
              <w:t xml:space="preserve"> </w:t>
            </w:r>
            <w:r>
              <w:rPr>
                <w:color w:val="212121"/>
                <w:sz w:val="16"/>
              </w:rPr>
              <w:t>—</w:t>
            </w:r>
            <w:r>
              <w:rPr>
                <w:color w:val="212121"/>
                <w:sz w:val="16"/>
              </w:rPr>
              <w:t xml:space="preserve"> </w:t>
            </w:r>
            <w:r>
              <w:rPr>
                <w:color w:val="212121"/>
                <w:sz w:val="16"/>
              </w:rPr>
              <w:t>自动提醒</w:t>
            </w:r>
            <w:r>
              <w:rPr>
                <w:color w:val="212121"/>
                <w:sz w:val="16"/>
              </w:rPr>
              <w:t xml:space="preserve"> </w:t>
            </w:r>
            <w:r>
              <w:rPr>
                <w:color w:val="212121"/>
                <w:sz w:val="16"/>
              </w:rPr>
              <w:t>—</w:t>
            </w:r>
            <w:r>
              <w:rPr>
                <w:color w:val="212121"/>
                <w:sz w:val="16"/>
              </w:rPr>
              <w:t xml:space="preserve"> </w:t>
            </w:r>
            <w:r>
              <w:rPr>
                <w:color w:val="212121"/>
                <w:sz w:val="16"/>
              </w:rPr>
              <w:t>后台管理</w:t>
            </w:r>
            <w:r>
              <w:rPr>
                <w:color w:val="212121"/>
                <w:sz w:val="16"/>
              </w:rPr>
              <w:t xml:space="preserve"> </w:t>
            </w:r>
            <w:r>
              <w:rPr>
                <w:color w:val="212121"/>
                <w:sz w:val="16"/>
              </w:rPr>
              <w:t>"</w:t>
            </w:r>
            <w:r>
              <w:rPr>
                <w:color w:val="212121"/>
                <w:sz w:val="16"/>
              </w:rPr>
              <w:t xml:space="preserve"> </w:t>
            </w:r>
            <w:r>
              <w:rPr>
                <w:color w:val="212121"/>
                <w:sz w:val="16"/>
              </w:rPr>
              <w:t>全链路贯通</w:t>
            </w:r>
          </w:p>
        </w:tc>
      </w:tr>
    </w:tbl>
    <w:p>
      <w:pPr>
        <w:jc w:val="both"/>
      </w:pPr>
      <w:r>
        <w:rPr>
          <w:rFonts w:ascii="微软雅黑" w:eastAsia="微软雅黑" w:hAnsi="微软雅黑" w:cs="微软雅黑" w:hint="eastAsia"/>
          <w:sz w:val="20"/>
          <w:lang w:eastAsia="zh-CN"/>
        </w:rPr>
        <w:t>指标</w:t>
      </w:r>
      <w:r>
        <w:rPr>
          <w:sz w:val="20"/>
        </w:rPr>
        <w:t xml:space="preserve"> 4 </w:t>
      </w:r>
      <w:r>
        <w:rPr>
          <w:rFonts w:ascii="微软雅黑" w:eastAsia="微软雅黑" w:hAnsi="微软雅黑" w:cs="微软雅黑" w:hint="eastAsia"/>
          <w:sz w:val="20"/>
          <w:lang w:eastAsia="zh-CN"/>
        </w:rPr>
        <w:t>的目标值（</w:t>
      </w:r>
      <w:r>
        <w:rPr>
          <w:sz w:val="20"/>
        </w:rPr>
        <w:t>90%</w:t>
      </w:r>
      <w:r>
        <w:rPr>
          <w:rFonts w:ascii="微软雅黑" w:eastAsia="微软雅黑" w:hAnsi="微软雅黑" w:cs="微软雅黑" w:hint="eastAsia"/>
          <w:sz w:val="20"/>
          <w:lang w:eastAsia="zh-CN"/>
        </w:rPr>
        <w:t>）低于其他三项，原因是</w:t>
      </w:r>
      <w:r>
        <w:rPr>
          <w:sz w:val="20"/>
        </w:rPr>
        <w:t>"</w:t>
      </w:r>
      <w:r>
        <w:rPr>
          <w:rFonts w:ascii="微软雅黑" w:eastAsia="微软雅黑" w:hAnsi="微软雅黑" w:cs="微软雅黑" w:hint="eastAsia"/>
          <w:sz w:val="20"/>
          <w:lang w:eastAsia="zh-CN"/>
        </w:rPr>
        <w:t>充满未移车</w:t>
      </w:r>
      <w:r>
        <w:rPr>
          <w:sz w:val="20"/>
        </w:rPr>
        <w:t>"</w:t>
      </w:r>
      <w:r>
        <w:rPr>
          <w:rFonts w:ascii="微软雅黑" w:eastAsia="微软雅黑" w:hAnsi="微软雅黑" w:cs="微软雅黑" w:hint="eastAsia"/>
          <w:sz w:val="20"/>
          <w:lang w:eastAsia="zh-CN"/>
        </w:rPr>
        <w:t>的判定同时依赖两类信号与时间窗口，不确定性天然更高。团队选择如实标注这一差异，而不是把四个数字统一写成</w:t>
      </w:r>
      <w:r>
        <w:rPr>
          <w:sz w:val="20"/>
        </w:rPr>
        <w:t xml:space="preserve"> 95%</w:t>
      </w:r>
      <w:r>
        <w:rPr>
          <w:rFonts w:ascii="微软雅黑" w:eastAsia="微软雅黑" w:hAnsi="微软雅黑" w:cs="微软雅黑" w:hint="eastAsia"/>
          <w:sz w:val="20"/>
          <w:lang w:eastAsia="zh-CN"/>
        </w:rPr>
        <w:t>。</w:t>
      </w:r>
    </w:p>
    <w:p>
      <w:bookmarkStart w:id="23" w:name="_Toc_section_12"/>
      <w:bookmarkStart w:id="11" w:name="section-12"/>
      <w:pPr>
        <w:pStyle w:val="Heading2"/>
        <w:spacing w:line="300" w:lineRule="auto"/>
      </w:pPr>
      <w:bookmarkEnd w:id="11"/>
      <w:r>
        <w:rPr>
          <w:rFonts w:ascii="微软雅黑" w:hAnsi="微软雅黑" w:eastAsia="微软雅黑" w:cs="微软雅黑" w:hint="eastAsia"/>
          <w:b/>
          <w:color w:val="1A237E"/>
          <w:sz w:val="26"/>
          <w:lang w:eastAsia="zh-CN"/>
        </w:rPr>
        <w:t>附录二、事实来源与数据出处</w:t>
      </w:r>
      <w:bookmarkEnd w:id="23"/>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内容</w:t>
            </w:r>
          </w:p>
        </w:tc>
        <w:tc>
          <w:tcPr>
            <w:tcW w:type="dxa" w:w="4320"/>
            <w:vAlign w:val="center"/>
            <w:tcBorders>
              <w:top w:val="single" w:sz="6" w:space="0" w:color="E0E0E0"/>
              <w:bottom w:val="single" w:sz="6" w:space="0" w:color="E0E0E0"/>
              <w:left w:val="single" w:sz="6" w:space="0" w:color="E0E0E0"/>
              <w:right w:val="single" w:sz="6" w:space="0" w:color="E0E0E0"/>
            </w:tcBorders>
            <w:shd w:val="clear" w:color="auto" w:fill="EAF1FB"/>
            <w:tcMar>
              <w:top w:w="101" w:type="dxa"/>
              <w:bottom w:w="101" w:type="dxa"/>
              <w:left w:w="149" w:type="dxa"/>
              <w:right w:w="149" w:type="dxa"/>
            </w:tcMar>
          </w:tcPr>
          <w:p>
            <w:pPr>
              <w:jc w:val="left"/>
              <w:spacing w:line="240" w:lineRule="auto" w:before="40" w:after="40"/>
            </w:pPr>
            <w:r>
              <w:rPr>
                <w:rFonts w:ascii="微软雅黑" w:hAnsi="微软雅黑" w:eastAsia="微软雅黑" w:hint="eastAsia"/>
                <w:b/>
                <w:color w:val="1A237E"/>
                <w:sz w:val="16"/>
              </w:rPr>
              <w:t>出处</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项目名称、英文名、依托学院、负责人、指导教师、成员分工、投入精力</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rFonts w:ascii="Consolas" w:hAnsi="Consolas"/>
                <w:color w:val="212121"/>
                <w:sz w:val="16"/>
              </w:rPr>
              <w:t>附件2：大学生创新创业训练计划项目（创新训练类）立项申请书.docx</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技术指标、预期成果形式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同上（</w:t>
            </w:r>
            <w:r>
              <w:rPr>
                <w:color w:val="212121"/>
                <w:sz w:val="16"/>
              </w:rPr>
              <w:t xml:space="preserve"> </w:t>
            </w:r>
            <w:r>
              <w:rPr>
                <w:color w:val="212121"/>
                <w:sz w:val="16"/>
              </w:rPr>
              <w:t>"</w:t>
            </w:r>
            <w:r>
              <w:rPr>
                <w:color w:val="212121"/>
                <w:sz w:val="16"/>
              </w:rPr>
              <w:t xml:space="preserve"> </w:t>
            </w:r>
            <w:r>
              <w:rPr>
                <w:color w:val="212121"/>
                <w:sz w:val="16"/>
              </w:rPr>
              <w:t>预期成果形式、达到的技术指标</w:t>
            </w:r>
            <w:r>
              <w:rPr>
                <w:color w:val="212121"/>
                <w:sz w:val="16"/>
              </w:rPr>
              <w:t xml:space="preserve"> </w:t>
            </w:r>
            <w:r>
              <w:rPr>
                <w:color w:val="212121"/>
                <w:sz w:val="16"/>
              </w:rPr>
              <w:t>"</w:t>
            </w:r>
            <w:r>
              <w:rPr>
                <w:color w:val="212121"/>
                <w:sz w:val="16"/>
              </w:rPr>
              <w:t xml:space="preserve"> </w:t>
            </w:r>
            <w:r>
              <w:rPr>
                <w:color w:val="212121"/>
                <w:sz w:val="16"/>
              </w:rPr>
              <w:t>）</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技术栈、五层架构、</w:t>
            </w:r>
            <w:r>
              <w:rPr>
                <w:color w:val="212121"/>
                <w:sz w:val="16"/>
              </w:rPr>
              <w:t xml:space="preserve"> </w:t>
            </w:r>
            <w:r>
              <w:rPr>
                <w:color w:val="212121"/>
                <w:sz w:val="16"/>
              </w:rPr>
              <w:t xml:space="preserve">M1–M7 </w:t>
            </w:r>
            <w:r>
              <w:rPr>
                <w:color w:val="212121"/>
                <w:sz w:val="16"/>
              </w:rPr>
              <w:t xml:space="preserve"> </w:t>
            </w:r>
            <w:r>
              <w:rPr>
                <w:color w:val="212121"/>
                <w:sz w:val="16"/>
              </w:rPr>
              <w:t>模块、四规则判定、风险对策、边界取舍</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rFonts w:ascii="Consolas" w:hAnsi="Consolas"/>
                <w:color w:val="212121"/>
                <w:sz w:val="16"/>
              </w:rPr>
              <w:t>充电桩车位防占系统_开发大纲.docx</w:t>
            </w:r>
            <w:r>
              <w:rPr>
                <w:color w:val="212121"/>
                <w:sz w:val="16"/>
              </w:rPr>
              <w:t xml:space="preserve"> 、 </w:t>
            </w:r>
            <w:r>
              <w:rPr>
                <w:rFonts w:ascii="Consolas" w:hAnsi="Consolas"/>
                <w:color w:val="212121"/>
                <w:sz w:val="16"/>
              </w:rPr>
              <w:t>充电桩车位防占系统_设计文档.docx</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四表字段、接口端点、验收清单、开发基线</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rFonts w:ascii="Consolas" w:hAnsi="Consolas"/>
                <w:color w:val="212121"/>
                <w:sz w:val="16"/>
              </w:rPr>
              <w:t>docs/CONTRACT.md</w:t>
            </w:r>
            <w:r>
              <w:rPr>
                <w:color w:val="212121"/>
                <w:sz w:val="16"/>
              </w:rPr>
              <w:t xml:space="preserve"> v1.2</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当前完成度审计、里程碑对照</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rFonts w:ascii="Consolas" w:hAnsi="Consolas"/>
                <w:color w:val="212121"/>
                <w:sz w:val="16"/>
              </w:rPr>
              <w:t>docs/PLAN_4WEEKS.md</w:t>
            </w:r>
            <w:r>
              <w:rPr>
                <w:color w:val="212121"/>
                <w:sz w:val="16"/>
              </w:rPr>
              <w:t xml:space="preserve"> v1.0</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产品描述、用户群体、竞品三类格局</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rFonts w:ascii="Consolas" w:hAnsi="Consolas"/>
                <w:color w:val="212121"/>
                <w:sz w:val="16"/>
              </w:rPr>
              <w:t>docs/项目概述.md</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机动车与新能源汽车保有量</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公安部交通管理局，截至</w:t>
            </w:r>
            <w:r>
              <w:rPr>
                <w:color w:val="212121"/>
                <w:sz w:val="16"/>
              </w:rPr>
              <w:t xml:space="preserve"> </w:t>
            </w:r>
            <w:r>
              <w:rPr>
                <w:color w:val="212121"/>
                <w:sz w:val="16"/>
              </w:rPr>
              <w:t xml:space="preserve"> 2026 </w:t>
            </w:r>
            <w:r>
              <w:rPr>
                <w:color w:val="212121"/>
                <w:sz w:val="16"/>
              </w:rPr>
              <w:t xml:space="preserve"> </w:t>
            </w:r>
            <w:r>
              <w:rPr>
                <w:color w:val="212121"/>
                <w:sz w:val="16"/>
              </w:rPr>
              <w:t>年</w:t>
            </w:r>
            <w:r>
              <w:rPr>
                <w:color w:val="212121"/>
                <w:sz w:val="16"/>
              </w:rPr>
              <w:t xml:space="preserve"> </w:t>
            </w:r>
            <w:r>
              <w:rPr>
                <w:color w:val="212121"/>
                <w:sz w:val="16"/>
              </w:rPr>
              <w:t xml:space="preserve"> 6 </w:t>
            </w:r>
            <w:r>
              <w:rPr>
                <w:color w:val="212121"/>
                <w:sz w:val="16"/>
              </w:rPr>
              <w:t xml:space="preserve"> </w:t>
            </w:r>
            <w:r>
              <w:rPr>
                <w:color w:val="212121"/>
                <w:sz w:val="16"/>
              </w:rPr>
              <w:t>月底（新华社</w:t>
            </w:r>
            <w:r>
              <w:rPr>
                <w:color w:val="212121"/>
                <w:sz w:val="16"/>
              </w:rPr>
              <w:t xml:space="preserve"> </w:t>
            </w:r>
            <w:r>
              <w:rPr>
                <w:color w:val="212121"/>
                <w:sz w:val="16"/>
              </w:rPr>
              <w:t xml:space="preserve"> 2026-07-14 </w:t>
            </w:r>
            <w:r>
              <w:rPr>
                <w:color w:val="212121"/>
                <w:sz w:val="16"/>
              </w:rPr>
              <w:t xml:space="preserve"> </w:t>
            </w:r>
            <w:r>
              <w:rPr>
                <w:color w:val="212121"/>
                <w:sz w:val="16"/>
              </w:rPr>
              <w:t>发布）</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充电设施总量与公共</w:t>
            </w:r>
            <w:r>
              <w:rPr>
                <w:color w:val="212121"/>
                <w:sz w:val="16"/>
              </w:rPr>
              <w:t xml:space="preserve"> </w:t>
            </w:r>
            <w:r>
              <w:rPr>
                <w:color w:val="212121"/>
                <w:sz w:val="16"/>
              </w:rPr>
              <w:t xml:space="preserve"> / </w:t>
            </w:r>
            <w:r>
              <w:rPr>
                <w:color w:val="212121"/>
                <w:sz w:val="16"/>
              </w:rPr>
              <w:t xml:space="preserve"> </w:t>
            </w:r>
            <w:r>
              <w:rPr>
                <w:color w:val="212121"/>
                <w:sz w:val="16"/>
              </w:rPr>
              <w:t>私人结构、县域覆盖率</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国家能源局国家充电设施监测服务平台，截至</w:t>
            </w:r>
            <w:r>
              <w:rPr>
                <w:color w:val="212121"/>
                <w:sz w:val="16"/>
              </w:rPr>
              <w:t xml:space="preserve"> </w:t>
            </w:r>
            <w:r>
              <w:rPr>
                <w:color w:val="212121"/>
                <w:sz w:val="16"/>
              </w:rPr>
              <w:t xml:space="preserve"> 2026 </w:t>
            </w:r>
            <w:r>
              <w:rPr>
                <w:color w:val="212121"/>
                <w:sz w:val="16"/>
              </w:rPr>
              <w:t xml:space="preserve"> </w:t>
            </w:r>
            <w:r>
              <w:rPr>
                <w:color w:val="212121"/>
                <w:sz w:val="16"/>
              </w:rPr>
              <w:t>年</w:t>
            </w:r>
            <w:r>
              <w:rPr>
                <w:color w:val="212121"/>
                <w:sz w:val="16"/>
              </w:rPr>
              <w:t xml:space="preserve"> </w:t>
            </w:r>
            <w:r>
              <w:rPr>
                <w:color w:val="212121"/>
                <w:sz w:val="16"/>
              </w:rPr>
              <w:t xml:space="preserve"> 6 </w:t>
            </w:r>
            <w:r>
              <w:rPr>
                <w:color w:val="212121"/>
                <w:sz w:val="16"/>
              </w:rPr>
              <w:t xml:space="preserve"> </w:t>
            </w:r>
            <w:r>
              <w:rPr>
                <w:color w:val="212121"/>
                <w:sz w:val="16"/>
              </w:rPr>
              <w:t>月底</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桩车增量比、公共充电桩运营商规模</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中国充电联盟（</w:t>
            </w:r>
            <w:r>
              <w:rPr>
                <w:color w:val="212121"/>
                <w:sz w:val="16"/>
              </w:rPr>
              <w:t xml:space="preserve"> </w:t>
            </w:r>
            <w:r>
              <w:rPr>
                <w:color w:val="212121"/>
                <w:sz w:val="16"/>
              </w:rPr>
              <w:t>EVCIPA</w:t>
            </w:r>
            <w:r>
              <w:rPr>
                <w:color w:val="212121"/>
                <w:sz w:val="16"/>
              </w:rPr>
              <w:t xml:space="preserve"> </w:t>
            </w:r>
            <w:r>
              <w:rPr>
                <w:color w:val="212121"/>
                <w:sz w:val="16"/>
              </w:rPr>
              <w:t>）统计数据</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《公共机构电动汽车充电基础设施配置及运行指南》</w:t>
            </w:r>
            <w:r>
              <w:rPr>
                <w:color w:val="212121"/>
                <w:sz w:val="16"/>
              </w:rPr>
              <w:t xml:space="preserve"> </w:t>
            </w:r>
            <w:r>
              <w:rPr>
                <w:color w:val="212121"/>
                <w:sz w:val="16"/>
              </w:rPr>
              <w:t xml:space="preserve">JS/T 302—2026 </w:t>
            </w:r>
            <w:r>
              <w:rPr>
                <w:color w:val="212121"/>
                <w:sz w:val="16"/>
              </w:rPr>
              <w:t xml:space="preserve"> </w:t>
            </w:r>
            <w:r>
              <w:rPr>
                <w:color w:val="212121"/>
                <w:sz w:val="16"/>
              </w:rPr>
              <w:t>全部要求条款</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国家机关事务管理局公告与标准全文（</w:t>
            </w:r>
            <w:r>
              <w:rPr>
                <w:color w:val="212121"/>
                <w:sz w:val="16"/>
              </w:rPr>
              <w:t xml:space="preserve"> </w:t>
            </w:r>
            <w:r>
              <w:rPr>
                <w:color w:val="212121"/>
                <w:sz w:val="16"/>
              </w:rPr>
              <w:t xml:space="preserve">2026-01-19 </w:t>
            </w:r>
            <w:r>
              <w:rPr>
                <w:color w:val="212121"/>
                <w:sz w:val="16"/>
              </w:rPr>
              <w:t xml:space="preserve"> </w:t>
            </w:r>
            <w:r>
              <w:rPr>
                <w:color w:val="212121"/>
                <w:sz w:val="16"/>
              </w:rPr>
              <w:t>发布，</w:t>
            </w:r>
            <w:r>
              <w:rPr>
                <w:color w:val="212121"/>
                <w:sz w:val="16"/>
              </w:rPr>
              <w:t xml:space="preserve"> </w:t>
            </w:r>
            <w:r>
              <w:rPr>
                <w:color w:val="212121"/>
                <w:sz w:val="16"/>
              </w:rPr>
              <w:t xml:space="preserve">2026-03-01 </w:t>
            </w:r>
            <w:r>
              <w:rPr>
                <w:color w:val="212121"/>
                <w:sz w:val="16"/>
              </w:rPr>
              <w:t xml:space="preserve"> </w:t>
            </w:r>
            <w:r>
              <w:rPr>
                <w:color w:val="212121"/>
                <w:sz w:val="16"/>
              </w:rPr>
              <w:t>实施），国家标准信息公共服务平台备案信息</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2030 </w:t>
            </w:r>
            <w:r>
              <w:rPr>
                <w:color w:val="212121"/>
                <w:sz w:val="16"/>
              </w:rPr>
              <w:t xml:space="preserve"> </w:t>
            </w:r>
            <w:r>
              <w:rPr>
                <w:color w:val="212121"/>
                <w:sz w:val="16"/>
              </w:rPr>
              <w:t>年充电设施超</w:t>
            </w:r>
            <w:r>
              <w:rPr>
                <w:color w:val="212121"/>
                <w:sz w:val="16"/>
              </w:rPr>
              <w:t xml:space="preserve"> </w:t>
            </w:r>
            <w:r>
              <w:rPr>
                <w:color w:val="212121"/>
                <w:sz w:val="16"/>
              </w:rPr>
              <w:t xml:space="preserve"> 4000 </w:t>
            </w:r>
            <w:r>
              <w:rPr>
                <w:color w:val="212121"/>
                <w:sz w:val="16"/>
              </w:rPr>
              <w:t xml:space="preserve"> </w:t>
            </w:r>
            <w:r>
              <w:rPr>
                <w:color w:val="212121"/>
                <w:sz w:val="16"/>
              </w:rPr>
              <w:t>万个、支撑超</w:t>
            </w:r>
            <w:r>
              <w:rPr>
                <w:color w:val="212121"/>
                <w:sz w:val="16"/>
              </w:rPr>
              <w:t xml:space="preserve"> </w:t>
            </w:r>
            <w:r>
              <w:rPr>
                <w:color w:val="212121"/>
                <w:sz w:val="16"/>
              </w:rPr>
              <w:t xml:space="preserve"> 1.1 </w:t>
            </w:r>
            <w:r>
              <w:rPr>
                <w:color w:val="212121"/>
                <w:sz w:val="16"/>
              </w:rPr>
              <w:t xml:space="preserve"> </w:t>
            </w:r>
            <w:r>
              <w:rPr>
                <w:color w:val="212121"/>
                <w:sz w:val="16"/>
              </w:rPr>
              <w:t>亿辆电动汽车</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《新型电力系统建设</w:t>
            </w:r>
            <w:r>
              <w:rPr>
                <w:color w:val="212121"/>
                <w:sz w:val="16"/>
              </w:rPr>
              <w:t xml:space="preserve"> </w:t>
            </w:r>
            <w:r>
              <w:rPr>
                <w:color w:val="212121"/>
                <w:sz w:val="16"/>
              </w:rPr>
              <w:t>"</w:t>
            </w:r>
            <w:r>
              <w:rPr>
                <w:color w:val="212121"/>
                <w:sz w:val="16"/>
              </w:rPr>
              <w:t xml:space="preserve"> </w:t>
            </w:r>
            <w:r>
              <w:rPr>
                <w:color w:val="212121"/>
                <w:sz w:val="16"/>
              </w:rPr>
              <w:t>十五五</w:t>
            </w:r>
            <w:r>
              <w:rPr>
                <w:color w:val="212121"/>
                <w:sz w:val="16"/>
              </w:rPr>
              <w:t xml:space="preserve"> </w:t>
            </w:r>
            <w:r>
              <w:rPr>
                <w:color w:val="212121"/>
                <w:sz w:val="16"/>
              </w:rPr>
              <w:t>"</w:t>
            </w:r>
            <w:r>
              <w:rPr>
                <w:color w:val="212121"/>
                <w:sz w:val="16"/>
              </w:rPr>
              <w:t xml:space="preserve"> </w:t>
            </w:r>
            <w:r>
              <w:rPr>
                <w:color w:val="212121"/>
                <w:sz w:val="16"/>
              </w:rPr>
              <w:t>规划》（国家发改委、国家能源局）</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燃油车占位</w:t>
            </w:r>
            <w:r>
              <w:rPr>
                <w:color w:val="212121"/>
                <w:sz w:val="16"/>
              </w:rPr>
              <w:t xml:space="preserve"> </w:t>
            </w:r>
            <w:r>
              <w:rPr>
                <w:color w:val="212121"/>
                <w:sz w:val="16"/>
              </w:rPr>
              <w:t xml:space="preserve"> 35.60%</w:t>
            </w:r>
            <w:r>
              <w:rPr>
                <w:color w:val="212121"/>
                <w:sz w:val="16"/>
              </w:rPr>
              <w:t xml:space="preserve"> </w:t>
            </w:r>
            <w:r>
              <w:rPr>
                <w:color w:val="212121"/>
                <w:sz w:val="16"/>
              </w:rPr>
              <w:t>、充电桩数量不足</w:t>
            </w:r>
            <w:r>
              <w:rPr>
                <w:color w:val="212121"/>
                <w:sz w:val="16"/>
              </w:rPr>
              <w:t xml:space="preserve"> </w:t>
            </w:r>
            <w:r>
              <w:rPr>
                <w:color w:val="212121"/>
                <w:sz w:val="16"/>
              </w:rPr>
              <w:t xml:space="preserve"> 36.92%</w:t>
            </w:r>
            <w:r>
              <w:rPr>
                <w:color w:val="212121"/>
                <w:sz w:val="16"/>
              </w:rPr>
              <w:t xml:space="preserve"> </w:t>
            </w:r>
            <w:r>
              <w:rPr>
                <w:color w:val="212121"/>
                <w:sz w:val="16"/>
              </w:rPr>
              <w:t>、故障率</w:t>
            </w:r>
            <w:r>
              <w:rPr>
                <w:color w:val="212121"/>
                <w:sz w:val="16"/>
              </w:rPr>
              <w:t xml:space="preserve"> </w:t>
            </w:r>
            <w:r>
              <w:rPr>
                <w:color w:val="212121"/>
                <w:sz w:val="16"/>
              </w:rPr>
              <w:t xml:space="preserve"> 24.01%</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中国消费者协会《住宅小区物业服务调查报告》（</w:t>
            </w:r>
            <w:r>
              <w:rPr>
                <w:color w:val="212121"/>
                <w:sz w:val="16"/>
              </w:rPr>
              <w:t xml:space="preserve"> </w:t>
            </w:r>
            <w:r>
              <w:rPr>
                <w:color w:val="212121"/>
                <w:sz w:val="16"/>
              </w:rPr>
              <w:t xml:space="preserve">2026 </w:t>
            </w:r>
            <w:r>
              <w:rPr>
                <w:color w:val="212121"/>
                <w:sz w:val="16"/>
              </w:rPr>
              <w:t xml:space="preserve"> </w:t>
            </w:r>
            <w:r>
              <w:rPr>
                <w:color w:val="212121"/>
                <w:sz w:val="16"/>
              </w:rPr>
              <w:t>年</w:t>
            </w:r>
            <w:r>
              <w:rPr>
                <w:color w:val="212121"/>
                <w:sz w:val="16"/>
              </w:rPr>
              <w:t xml:space="preserve"> </w:t>
            </w:r>
            <w:r>
              <w:rPr>
                <w:color w:val="212121"/>
                <w:sz w:val="16"/>
              </w:rPr>
              <w:t xml:space="preserve"> 7 </w:t>
            </w:r>
            <w:r>
              <w:rPr>
                <w:color w:val="212121"/>
                <w:sz w:val="16"/>
              </w:rPr>
              <w:t xml:space="preserve"> </w:t>
            </w:r>
            <w:r>
              <w:rPr>
                <w:color w:val="212121"/>
                <w:sz w:val="16"/>
              </w:rPr>
              <w:t>月）</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燃油车占位</w:t>
            </w:r>
            <w:r>
              <w:rPr>
                <w:color w:val="212121"/>
                <w:sz w:val="16"/>
              </w:rPr>
              <w:t xml:space="preserve"> </w:t>
            </w:r>
            <w:r>
              <w:rPr>
                <w:color w:val="212121"/>
                <w:sz w:val="16"/>
              </w:rPr>
              <w:t xml:space="preserve"> 45.24%</w:t>
            </w:r>
            <w:r>
              <w:rPr>
                <w:color w:val="212121"/>
                <w:sz w:val="16"/>
              </w:rPr>
              <w:t xml:space="preserve"> </w:t>
            </w:r>
            <w:r>
              <w:rPr>
                <w:color w:val="212121"/>
                <w:sz w:val="16"/>
              </w:rPr>
              <w:t>、占位费立场</w:t>
            </w:r>
            <w:r>
              <w:rPr>
                <w:color w:val="212121"/>
                <w:sz w:val="16"/>
              </w:rPr>
              <w:t xml:space="preserve"> </w:t>
            </w:r>
            <w:r>
              <w:rPr>
                <w:color w:val="212121"/>
                <w:sz w:val="16"/>
              </w:rPr>
              <w:t xml:space="preserve"> 15%/25%/45%</w:t>
            </w:r>
            <w:r>
              <w:rPr>
                <w:color w:val="212121"/>
                <w:sz w:val="16"/>
              </w:rPr>
              <w:t xml:space="preserve"> </w:t>
            </w:r>
            <w:r>
              <w:rPr>
                <w:color w:val="212121"/>
                <w:sz w:val="16"/>
              </w:rPr>
              <w:t>、服务费不满</w:t>
            </w:r>
            <w:r>
              <w:rPr>
                <w:color w:val="212121"/>
                <w:sz w:val="16"/>
              </w:rPr>
              <w:t xml:space="preserve"> </w:t>
            </w:r>
            <w:r>
              <w:rPr>
                <w:color w:val="212121"/>
                <w:sz w:val="16"/>
              </w:rPr>
              <w:t xml:space="preserve"> 72.03%</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绿领环保《</w:t>
            </w:r>
            <w:r>
              <w:rPr>
                <w:color w:val="212121"/>
                <w:sz w:val="16"/>
              </w:rPr>
              <w:t xml:space="preserve"> </w:t>
            </w:r>
            <w:r>
              <w:rPr>
                <w:color w:val="212121"/>
                <w:sz w:val="16"/>
              </w:rPr>
              <w:t xml:space="preserve">2026 </w:t>
            </w:r>
            <w:r>
              <w:rPr>
                <w:color w:val="212121"/>
                <w:sz w:val="16"/>
              </w:rPr>
              <w:t xml:space="preserve"> </w:t>
            </w:r>
            <w:r>
              <w:rPr>
                <w:color w:val="212121"/>
                <w:sz w:val="16"/>
              </w:rPr>
              <w:t>天津中心城区新能源汽车公共充电设施友好度观察报告</w:t>
            </w:r>
            <w:r>
              <w:rPr>
                <w:color w:val="212121"/>
                <w:sz w:val="16"/>
              </w:rPr>
              <w:t xml:space="preserve"> </w:t>
            </w:r>
            <w:r>
              <w:rPr>
                <w:color w:val="212121"/>
                <w:sz w:val="16"/>
              </w:rPr>
              <w:t xml:space="preserve"> · </w:t>
            </w:r>
            <w:r>
              <w:rPr>
                <w:color w:val="212121"/>
                <w:sz w:val="16"/>
              </w:rPr>
              <w:t xml:space="preserve"> </w:t>
            </w:r>
            <w:r>
              <w:rPr>
                <w:color w:val="212121"/>
                <w:sz w:val="16"/>
              </w:rPr>
              <w:t>公众意见分析篇》（样本</w:t>
            </w:r>
            <w:r>
              <w:rPr>
                <w:color w:val="212121"/>
                <w:sz w:val="16"/>
              </w:rPr>
              <w:t xml:space="preserve"> </w:t>
            </w:r>
            <w:r>
              <w:rPr>
                <w:color w:val="212121"/>
                <w:sz w:val="16"/>
              </w:rPr>
              <w:t xml:space="preserve"> 606 </w:t>
            </w:r>
            <w:r>
              <w:rPr>
                <w:color w:val="212121"/>
                <w:sz w:val="16"/>
              </w:rPr>
              <w:t xml:space="preserve"> </w:t>
            </w:r>
            <w:r>
              <w:rPr>
                <w:color w:val="212121"/>
                <w:sz w:val="16"/>
              </w:rPr>
              <w:t>份）</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车位被占用</w:t>
            </w:r>
            <w:r>
              <w:rPr>
                <w:color w:val="212121"/>
                <w:sz w:val="16"/>
              </w:rPr>
              <w:t xml:space="preserve"> </w:t>
            </w:r>
            <w:r>
              <w:rPr>
                <w:color w:val="212121"/>
                <w:sz w:val="16"/>
              </w:rPr>
              <w:t xml:space="preserve"> 88.18%</w:t>
            </w:r>
            <w:r>
              <w:rPr>
                <w:color w:val="212121"/>
                <w:sz w:val="16"/>
              </w:rPr>
              <w:t xml:space="preserve"> </w:t>
            </w:r>
            <w:r>
              <w:rPr>
                <w:color w:val="212121"/>
                <w:sz w:val="16"/>
              </w:rPr>
              <w:t>、故障桩</w:t>
            </w:r>
            <w:r>
              <w:rPr>
                <w:color w:val="212121"/>
                <w:sz w:val="16"/>
              </w:rPr>
              <w:t xml:space="preserve"> </w:t>
            </w:r>
            <w:r>
              <w:rPr>
                <w:color w:val="212121"/>
                <w:sz w:val="16"/>
              </w:rPr>
              <w:t xml:space="preserve"> 47.05%</w:t>
            </w:r>
            <w:r>
              <w:rPr>
                <w:color w:val="212121"/>
                <w:sz w:val="16"/>
              </w:rPr>
              <w:t xml:space="preserve"> </w:t>
            </w:r>
            <w:r>
              <w:rPr>
                <w:color w:val="212121"/>
                <w:sz w:val="16"/>
              </w:rPr>
              <w:t>、排队</w:t>
            </w:r>
            <w:r>
              <w:rPr>
                <w:color w:val="212121"/>
                <w:sz w:val="16"/>
              </w:rPr>
              <w:t xml:space="preserve"> </w:t>
            </w:r>
            <w:r>
              <w:rPr>
                <w:color w:val="212121"/>
                <w:sz w:val="16"/>
              </w:rPr>
              <w:t xml:space="preserve"> 43.27%</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杭州市消保委</w:t>
            </w:r>
            <w:r>
              <w:rPr>
                <w:color w:val="212121"/>
                <w:sz w:val="16"/>
              </w:rPr>
              <w:t xml:space="preserve"> </w:t>
            </w:r>
            <w:r>
              <w:rPr>
                <w:color w:val="212121"/>
                <w:sz w:val="16"/>
              </w:rPr>
              <w:t xml:space="preserve"> 2026 </w:t>
            </w:r>
            <w:r>
              <w:rPr>
                <w:color w:val="212121"/>
                <w:sz w:val="16"/>
              </w:rPr>
              <w:t xml:space="preserve"> </w:t>
            </w:r>
            <w:r>
              <w:rPr>
                <w:color w:val="212121"/>
                <w:sz w:val="16"/>
              </w:rPr>
              <w:t>年</w:t>
            </w:r>
            <w:r>
              <w:rPr>
                <w:color w:val="212121"/>
                <w:sz w:val="16"/>
              </w:rPr>
              <w:t xml:space="preserve"> </w:t>
            </w:r>
            <w:r>
              <w:rPr>
                <w:color w:val="212121"/>
                <w:sz w:val="16"/>
              </w:rPr>
              <w:t xml:space="preserve"> 2 </w:t>
            </w:r>
            <w:r>
              <w:rPr>
                <w:color w:val="212121"/>
                <w:sz w:val="16"/>
              </w:rPr>
              <w:t xml:space="preserve"> </w:t>
            </w:r>
            <w:r>
              <w:rPr>
                <w:color w:val="212121"/>
                <w:sz w:val="16"/>
              </w:rPr>
              <w:t>月电动汽车充电服务问卷调查（经媒体报道，未取得官方原文，仅作旁证）</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全国高等学校</w:t>
            </w:r>
            <w:r>
              <w:rPr>
                <w:color w:val="212121"/>
                <w:sz w:val="16"/>
              </w:rPr>
              <w:t xml:space="preserve"> </w:t>
            </w:r>
            <w:r>
              <w:rPr>
                <w:color w:val="212121"/>
                <w:sz w:val="16"/>
              </w:rPr>
              <w:t xml:space="preserve"> 3196 </w:t>
            </w:r>
            <w:r>
              <w:rPr>
                <w:color w:val="212121"/>
                <w:sz w:val="16"/>
              </w:rPr>
              <w:t xml:space="preserve"> </w:t>
            </w:r>
            <w:r>
              <w:rPr>
                <w:color w:val="212121"/>
                <w:sz w:val="16"/>
              </w:rPr>
              <w:t>所及结构</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教育部《全国高等学校名单》，截至</w:t>
            </w:r>
            <w:r>
              <w:rPr>
                <w:color w:val="212121"/>
                <w:sz w:val="16"/>
              </w:rPr>
              <w:t xml:space="preserve"> </w:t>
            </w:r>
            <w:r>
              <w:rPr>
                <w:color w:val="212121"/>
                <w:sz w:val="16"/>
              </w:rPr>
              <w:t xml:space="preserve"> 2026-06-17</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YOLO </w:t>
            </w:r>
            <w:r>
              <w:rPr>
                <w:color w:val="212121"/>
                <w:sz w:val="16"/>
              </w:rPr>
              <w:t xml:space="preserve"> </w:t>
            </w:r>
            <w:r>
              <w:rPr>
                <w:color w:val="212121"/>
                <w:sz w:val="16"/>
              </w:rPr>
              <w:t>系列许可（</w:t>
            </w:r>
            <w:r>
              <w:rPr>
                <w:color w:val="212121"/>
                <w:sz w:val="16"/>
              </w:rPr>
              <w:t xml:space="preserve"> </w:t>
            </w:r>
            <w:r>
              <w:rPr>
                <w:color w:val="212121"/>
                <w:sz w:val="16"/>
              </w:rPr>
              <w:t>AGPL-3.0</w:t>
            </w:r>
            <w:r>
              <w:rPr>
                <w:color w:val="212121"/>
                <w:sz w:val="16"/>
              </w:rPr>
              <w:t xml:space="preserve"> </w:t>
            </w:r>
            <w:r>
              <w:rPr>
                <w:color w:val="212121"/>
                <w:sz w:val="16"/>
              </w:rPr>
              <w:t>）与</w:t>
            </w:r>
            <w:r>
              <w:rPr>
                <w:color w:val="212121"/>
                <w:sz w:val="16"/>
              </w:rPr>
              <w:t xml:space="preserve"> </w:t>
            </w:r>
            <w:r>
              <w:rPr>
                <w:color w:val="212121"/>
                <w:sz w:val="16"/>
              </w:rPr>
              <w:t xml:space="preserve"> Enterprise License </w:t>
            </w:r>
            <w:r>
              <w:rPr>
                <w:color w:val="212121"/>
                <w:sz w:val="16"/>
              </w:rPr>
              <w:t xml:space="preserve"> </w:t>
            </w:r>
            <w:r>
              <w:rPr>
                <w:color w:val="212121"/>
                <w:sz w:val="16"/>
              </w:rPr>
              <w:t>需询价</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Ultralytics </w:t>
            </w:r>
            <w:r>
              <w:rPr>
                <w:color w:val="212121"/>
                <w:sz w:val="16"/>
              </w:rPr>
              <w:t xml:space="preserve"> </w:t>
            </w:r>
            <w:r>
              <w:rPr>
                <w:color w:val="212121"/>
                <w:sz w:val="16"/>
              </w:rPr>
              <w:t>官方文档与定价页</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企业级授权</w:t>
            </w:r>
            <w:r>
              <w:rPr>
                <w:color w:val="212121"/>
                <w:sz w:val="16"/>
              </w:rPr>
              <w:t xml:space="preserve"> </w:t>
            </w:r>
            <w:r>
              <w:rPr>
                <w:color w:val="212121"/>
                <w:sz w:val="16"/>
              </w:rPr>
              <w:t xml:space="preserve"> 10K </w:t>
            </w:r>
            <w:r>
              <w:rPr>
                <w:color w:val="212121"/>
                <w:sz w:val="16"/>
              </w:rPr>
              <w:t xml:space="preserve"> </w:t>
            </w:r>
            <w:r>
              <w:rPr>
                <w:color w:val="212121"/>
                <w:sz w:val="16"/>
              </w:rPr>
              <w:t>美元</w:t>
            </w:r>
            <w:r>
              <w:rPr>
                <w:color w:val="212121"/>
                <w:sz w:val="16"/>
              </w:rPr>
              <w:t xml:space="preserve"> </w:t>
            </w:r>
            <w:r>
              <w:rPr>
                <w:color w:val="212121"/>
                <w:sz w:val="16"/>
              </w:rPr>
              <w:t>/</w:t>
            </w:r>
            <w:r>
              <w:rPr>
                <w:color w:val="212121"/>
                <w:sz w:val="16"/>
              </w:rPr>
              <w:t xml:space="preserve"> </w:t>
            </w:r>
            <w:r>
              <w:rPr>
                <w:color w:val="212121"/>
                <w:sz w:val="16"/>
              </w:rPr>
              <w:t>年量级</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第三方技术博客估算（</w:t>
            </w:r>
            <w:r>
              <w:rPr>
                <w:color w:val="212121"/>
                <w:sz w:val="16"/>
              </w:rPr>
              <w:t xml:space="preserve"> </w:t>
            </w:r>
            <w:r>
              <w:rPr>
                <w:color w:val="212121"/>
                <w:sz w:val="16"/>
              </w:rPr>
              <w:t>2026-02</w:t>
            </w:r>
            <w:r>
              <w:rPr>
                <w:color w:val="212121"/>
                <w:sz w:val="16"/>
              </w:rPr>
              <w:t xml:space="preserve"> </w:t>
            </w:r>
            <w:r>
              <w:rPr>
                <w:color w:val="212121"/>
                <w:sz w:val="16"/>
              </w:rPr>
              <w:t>），非官方报价，仅作预算区间参考</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 xml:space="preserve">Apache-2.0 </w:t>
            </w:r>
            <w:r>
              <w:rPr>
                <w:color w:val="212121"/>
                <w:sz w:val="16"/>
              </w:rPr>
              <w:t xml:space="preserve"> </w:t>
            </w:r>
            <w:r>
              <w:rPr>
                <w:color w:val="212121"/>
                <w:sz w:val="16"/>
              </w:rPr>
              <w:t>替代模型清单（</w:t>
            </w:r>
            <w:r>
              <w:rPr>
                <w:color w:val="212121"/>
                <w:sz w:val="16"/>
              </w:rPr>
              <w:t xml:space="preserve"> </w:t>
            </w:r>
            <w:r>
              <w:rPr>
                <w:color w:val="212121"/>
                <w:sz w:val="16"/>
              </w:rPr>
              <w:t>RT-DETR</w:t>
            </w:r>
            <w:r>
              <w:rPr>
                <w:color w:val="212121"/>
                <w:sz w:val="16"/>
              </w:rPr>
              <w:t xml:space="preserve"> </w:t>
            </w:r>
            <w:r>
              <w:rPr>
                <w:color w:val="212121"/>
                <w:sz w:val="16"/>
              </w:rPr>
              <w:t>、</w:t>
            </w:r>
            <w:r>
              <w:rPr>
                <w:color w:val="212121"/>
                <w:sz w:val="16"/>
              </w:rPr>
              <w:t xml:space="preserve"> </w:t>
            </w:r>
            <w:r>
              <w:rPr>
                <w:color w:val="212121"/>
                <w:sz w:val="16"/>
              </w:rPr>
              <w:t>RF-DETR</w:t>
            </w:r>
            <w:r>
              <w:rPr>
                <w:color w:val="212121"/>
                <w:sz w:val="16"/>
              </w:rPr>
              <w:t xml:space="preserve"> </w:t>
            </w:r>
            <w:r>
              <w:rPr>
                <w:color w:val="212121"/>
                <w:sz w:val="16"/>
              </w:rPr>
              <w:t>、</w:t>
            </w:r>
            <w:r>
              <w:rPr>
                <w:color w:val="212121"/>
                <w:sz w:val="16"/>
              </w:rPr>
              <w:t xml:space="preserve"> </w:t>
            </w:r>
            <w:r>
              <w:rPr>
                <w:color w:val="212121"/>
                <w:sz w:val="16"/>
              </w:rPr>
              <w:t xml:space="preserve">D-FINE </w:t>
            </w:r>
            <w:r>
              <w:rPr>
                <w:color w:val="212121"/>
                <w:sz w:val="16"/>
              </w:rPr>
              <w:t xml:space="preserve"> </w:t>
            </w:r>
            <w:r>
              <w:rPr>
                <w:color w:val="212121"/>
                <w:sz w:val="16"/>
              </w:rPr>
              <w:t>等）</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第三方技术汇总，落地前需逐个核对各仓库</w:t>
            </w:r>
            <w:r>
              <w:rPr>
                <w:color w:val="212121"/>
                <w:sz w:val="16"/>
              </w:rPr>
              <w:t xml:space="preserve"> </w:t>
            </w:r>
            <w:r>
              <w:rPr>
                <w:color w:val="212121"/>
                <w:sz w:val="16"/>
              </w:rPr>
              <w:t xml:space="preserve"> LICENSE</w:t>
            </w:r>
          </w:p>
        </w:tc>
      </w:tr>
      <w:tr>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云服务器与短信单价</w:t>
            </w:r>
          </w:p>
        </w:tc>
        <w:tc>
          <w:tcPr>
            <w:tcW w:type="dxa" w:w="4320"/>
            <w:vAlign w:val="center"/>
            <w:tcBorders>
              <w:top w:val="single" w:sz="6" w:space="0" w:color="E0E0E0"/>
              <w:bottom w:val="single" w:sz="6" w:space="0" w:color="E0E0E0"/>
              <w:left w:val="single" w:sz="6" w:space="0" w:color="E0E0E0"/>
              <w:right w:val="single" w:sz="6" w:space="0" w:color="E0E0E0"/>
            </w:tcBorders>
            <w:tcMar>
              <w:top w:w="101" w:type="dxa"/>
              <w:bottom w:w="101" w:type="dxa"/>
              <w:left w:w="149" w:type="dxa"/>
              <w:right w:w="149" w:type="dxa"/>
            </w:tcMar>
          </w:tcPr>
          <w:p>
            <w:pPr>
              <w:jc w:val="left"/>
              <w:spacing w:line="240" w:lineRule="auto" w:before="20" w:after="20"/>
            </w:pPr>
            <w:r>
              <w:rPr>
                <w:color w:val="212121"/>
                <w:sz w:val="16"/>
              </w:rPr>
              <w:t>阿里云官网价格公示（</w:t>
            </w:r>
            <w:r>
              <w:rPr>
                <w:color w:val="212121"/>
                <w:sz w:val="16"/>
              </w:rPr>
              <w:t xml:space="preserve"> </w:t>
            </w:r>
            <w:r>
              <w:rPr>
                <w:color w:val="212121"/>
                <w:sz w:val="16"/>
              </w:rPr>
              <w:t xml:space="preserve">2026 </w:t>
            </w:r>
            <w:r>
              <w:rPr>
                <w:color w:val="212121"/>
                <w:sz w:val="16"/>
              </w:rPr>
              <w:t xml:space="preserve"> </w:t>
            </w:r>
            <w:r>
              <w:rPr>
                <w:color w:val="212121"/>
                <w:sz w:val="16"/>
              </w:rPr>
              <w:t>年现行价）</w:t>
            </w:r>
          </w:p>
        </w:tc>
      </w:tr>
    </w:tbl>
    <w:p>
      <w:pPr>
        <w:spacing w:before="264" w:after="264"/>
        <w:jc w:val="both"/>
        <w:pBdr>
          <w:left w:val="single" w:sz="24" w:space="0" w:color="1565C0"/>
        </w:pBdr>
        <w:shd w:val="clear" w:color="auto" w:fill="EAF1FB"/>
      </w:pPr>
      <w:r>
        <w:rPr>
          <w:rFonts w:ascii="微软雅黑" w:eastAsia="微软雅黑" w:hAnsi="微软雅黑" w:cs="微软雅黑" w:hint="eastAsia"/>
          <w:sz w:val="20"/>
          <w:lang w:eastAsia="zh-CN"/>
        </w:rPr>
        <w:t>财务章全部价格与销量均为</w:t>
      </w:r>
      <w:r>
        <w:rPr>
          <w:rFonts w:ascii="微软雅黑" w:eastAsia="微软雅黑" w:hAnsi="微软雅黑" w:cs="微软雅黑" w:hint="eastAsia"/>
          <w:b/>
          <w:sz w:val="20"/>
          <w:lang w:eastAsia="zh-CN"/>
        </w:rPr>
        <w:t>待验证假设</w:t>
      </w:r>
      <w:r>
        <w:rPr>
          <w:rFonts w:ascii="微软雅黑" w:eastAsia="微软雅黑" w:hAnsi="微软雅黑" w:cs="微软雅黑" w:hint="eastAsia"/>
          <w:sz w:val="20"/>
          <w:lang w:eastAsia="zh-CN"/>
        </w:rPr>
        <w:t>，已在第</w:t>
      </w:r>
      <w:r>
        <w:rPr>
          <w:sz w:val="20"/>
        </w:rPr>
        <w:t xml:space="preserve"> 8.1 </w:t>
      </w:r>
      <w:r>
        <w:rPr>
          <w:rFonts w:ascii="微软雅黑" w:eastAsia="微软雅黑" w:hAnsi="微软雅黑" w:cs="微软雅黑" w:hint="eastAsia"/>
          <w:sz w:val="20"/>
          <w:lang w:eastAsia="zh-CN"/>
        </w:rPr>
        <w:t>节与第</w:t>
      </w:r>
      <w:r>
        <w:rPr>
          <w:sz w:val="20"/>
        </w:rPr>
        <w:t xml:space="preserve"> 9.2 </w:t>
      </w:r>
      <w:r>
        <w:rPr>
          <w:rFonts w:ascii="微软雅黑" w:eastAsia="微软雅黑" w:hAnsi="微软雅黑" w:cs="微软雅黑" w:hint="eastAsia"/>
          <w:sz w:val="20"/>
          <w:lang w:eastAsia="zh-CN"/>
        </w:rPr>
        <w:t>节逐项列出验证方式。本文档不将假设表述为既成事实。</w:t>
      </w:r>
      <w:r/>
      <w:r/>
      <w:r/>
    </w:p>
    <w:sectPr w:rsidR="00FC693F" w:rsidRPr="0006063C" w:rsidSect="00034616">
      <w:footerReference w:type="default" r:id="rId9"/>
      <w:pgSz w:w="11906" w:h="16838"/>
      <w:pgMar w:top="1417" w:right="1417" w:bottom="1134"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jc w:val="both"/>
    </w:pPr>
    <w:rPr>
      <w:rFonts w:ascii="微软雅黑" w:hAnsi="微软雅黑" w:eastAsia="微软雅黑"/>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32" w:after="0" w:line="255" w:lineRule="auto"/>
      <w:outlineLvl w:val="1"/>
    </w:pPr>
    <w:rPr>
      <w:rFonts w:ascii="微软雅黑" w:hAnsi="微软雅黑" w:eastAsia="微软雅黑"/>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16" w:after="0" w:line="255" w:lineRule="auto"/>
      <w:outlineLvl w:val="2"/>
    </w:pPr>
    <w:rPr>
      <w:rFonts w:ascii="微软雅黑" w:hAnsi="微软雅黑" w:eastAsia="微软雅黑"/>
      <w:b/>
      <w:bCs/>
      <w:color w:val="1565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