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0" Type="http://schemas.openxmlformats.org/officeDocument/2006/relationships/officeDocument" Target="word/document.xml"/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14="http://schemas.microsoft.com/office/word/2010/wordml" xmlns:wps="http://schemas.microsoft.com/office/word/2010/wordprocessingShape" xmlns:mc="http://schemas.openxmlformats.org/markup-compatibility/2006" mc:Ignorable="w14 wps">
  <w:body>
    <w:p w14:paraId="7365907B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「桩」点北邮 —— 充电桩车位防占系统 设计文档</w:t>
      </w:r>
    </w:p>
    <w:p w14:paraId="66CB20F7">
      <w:pPr>
        <w:ind w:left="240"/>
      </w:pPr>
      <w:r>
        <w:rPr>
          <w:rFonts w:hint="eastAsia"/>
        </w:rPr>
        <w:t>版本：MVP 设计基线（基础功能优先，后续迭代）</w:t>
      </w:r>
    </w:p>
    <w:p w14:paraId="733EEC1C">
      <w:pPr>
        <w:ind w:left="240"/>
      </w:pPr>
      <w:r>
        <w:rPr>
          <w:rFonts w:hint="eastAsia"/>
        </w:rPr>
        <w:t>项目：大学生创新创业训练计划（创新训练类 · 自主探索）｜ 北京邮电大学 信息与通信工程学院</w:t>
      </w:r>
    </w:p>
    <w:p w14:paraId="64800821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1. 项目概述</w:t>
      </w:r>
    </w:p>
    <w:p w14:paraId="72F729BE">
      <w:pPr>
        <w:numPr>
          <w:ilvl w:val="0"/>
          <w:numId w:val="1"/>
        </w:numPr>
      </w:pPr>
      <w:r>
        <w:rPr>
          <w:rFonts w:hint="eastAsia"/>
          <w:b w:val="1"/>
        </w:rPr>
        <w:t>目标</w:t>
      </w:r>
      <w:r>
        <w:rPr>
          <w:rFonts w:hint="eastAsia"/>
        </w:rPr>
        <w:t>：对校园充电车位实现智能监管，自动识别"燃油车违规占位"与"新能源车充满未移车"，主动提醒车主，形成</w:t>
      </w:r>
      <w:r>
        <w:rPr>
          <w:rFonts w:hint="eastAsia"/>
          <w:b w:val="1"/>
        </w:rPr>
        <w:t>识别—判断—提醒</w:t>
      </w:r>
      <w:r>
        <w:rPr>
          <w:rFonts w:hint="eastAsia"/>
        </w:rPr>
        <w:t>闭环。</w:t>
      </w:r>
    </w:p>
    <w:p w14:paraId="2BCB4B43">
      <w:pPr>
        <w:numPr>
          <w:ilvl w:val="0"/>
          <w:numId w:val="1"/>
        </w:numPr>
      </w:pPr>
      <w:r>
        <w:rPr>
          <w:rFonts w:hint="eastAsia"/>
          <w:b w:val="1"/>
        </w:rPr>
        <w:t>价值</w:t>
      </w:r>
      <w:r>
        <w:rPr>
          <w:rFonts w:hint="eastAsia"/>
        </w:rPr>
        <w:t>：提升充电资源利用率、降低人工巡查成本，提供低成本、可复制的智慧校园方案。</w:t>
      </w:r>
    </w:p>
    <w:p w14:paraId="54964972">
      <w:pPr>
        <w:numPr>
          <w:ilvl w:val="0"/>
          <w:numId w:val="1"/>
        </w:numPr>
      </w:pPr>
      <w:r>
        <w:rPr>
          <w:rFonts w:hint="eastAsia"/>
          <w:b w:val="1"/>
        </w:rPr>
        <w:t>形态</w:t>
      </w:r>
      <w:r>
        <w:rPr>
          <w:rFonts w:hint="eastAsia"/>
        </w:rPr>
        <w:t>：演示系统（原型），先跑通闭环，指标与完备功能后续迭代。</w:t>
      </w:r>
    </w:p>
    <w:p w14:paraId="0C002EF5">
      <w:pPr>
        <w:numPr>
          <w:ilvl w:val="0"/>
          <w:numId w:val="1"/>
        </w:numPr>
      </w:pPr>
      <w:r>
        <w:rPr>
          <w:rFonts w:hint="eastAsia"/>
          <w:b w:val="1"/>
        </w:rPr>
        <w:t>范围边界</w:t>
      </w:r>
      <w:r>
        <w:rPr>
          <w:rFonts w:hint="eastAsia"/>
        </w:rPr>
        <w:t>：充电桩运行状态因运营商接口权限限制采用</w:t>
      </w:r>
      <w:r>
        <w:rPr>
          <w:rFonts w:hint="eastAsia"/>
          <w:b w:val="1"/>
        </w:rPr>
        <w:t>模拟数据</w:t>
      </w:r>
      <w:r>
        <w:rPr>
          <w:rFonts w:hint="eastAsia"/>
        </w:rPr>
        <w:t>，预留真实接口适配层。</w:t>
      </w:r>
    </w:p>
    <w:p w14:paraId="1C12F579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已确认的关键方向</w:t>
      </w:r>
    </w:p>
    <w:p w14:paraId="55803B8A">
      <w:pPr>
        <w:numPr>
          <w:ilvl w:val="0"/>
          <w:numId w:val="1"/>
        </w:numPr>
      </w:pPr>
      <w:r>
        <w:rPr>
          <w:rFonts w:hint="eastAsia"/>
        </w:rPr>
        <w:t>车型区分：</w:t>
      </w:r>
      <w:r>
        <w:rPr>
          <w:rFonts w:hint="eastAsia"/>
          <w:b w:val="1"/>
        </w:rPr>
        <w:t>车牌类型判定</w:t>
      </w:r>
      <w:r>
        <w:rPr>
          <w:rFonts w:hint="eastAsia"/>
        </w:rPr>
        <w:t>（绿牌 = 新能源 / 蓝牌 = 燃油），不依赖外观分类</w:t>
      </w:r>
    </w:p>
    <w:p w14:paraId="0F4B0757">
      <w:pPr>
        <w:numPr>
          <w:ilvl w:val="0"/>
          <w:numId w:val="1"/>
        </w:numPr>
      </w:pPr>
      <w:r>
        <w:rPr>
          <w:rFonts w:hint="eastAsia"/>
        </w:rPr>
        <w:t>技术栈：FastAPI + Vue3 + MySQL + YOLOv8 + HyperLPR（主）/ PaddleOCR（备选）</w:t>
      </w:r>
    </w:p>
    <w:p w14:paraId="7AEE2909">
      <w:pPr>
        <w:numPr>
          <w:ilvl w:val="0"/>
          <w:numId w:val="1"/>
        </w:numPr>
      </w:pPr>
      <w:r>
        <w:rPr>
          <w:rFonts w:hint="eastAsia"/>
        </w:rPr>
        <w:t>提醒：真实短信 API（阿里云/腾讯云），开发期沙箱模拟</w:t>
      </w:r>
    </w:p>
    <w:p w14:paraId="0C802221">
      <w:pPr>
        <w:numPr>
          <w:ilvl w:val="0"/>
          <w:numId w:val="1"/>
        </w:numPr>
      </w:pPr>
      <w:r>
        <w:rPr>
          <w:rFonts w:hint="eastAsia"/>
        </w:rPr>
        <w:t>视频源：开发期用测试视频/图片集，后期接真实摄像头</w:t>
      </w:r>
    </w:p>
    <w:p w14:paraId="0C802221">
      <w:pPr>
        <w:numPr>
          <w:ilvl w:val="0"/>
          <w:numId w:val="1"/>
        </w:numPr>
      </w:pPr>
      <w:r>
        <w:rPr>
          <w:rFonts w:hint="eastAsia"/>
        </w:rPr>
        <w:t xml:space="preserve">部署形态：推理（抽帧→检测→识牌→规则）与 Web 服务拆分为独立进程，Web 仅读库并供前端。</w:t>
      </w:r>
    </w:p>
    <w:p w14:paraId="0C802221">
      <w:pPr>
        <w:numPr>
          <w:ilvl w:val="0"/>
          <w:numId w:val="1"/>
        </w:numPr>
      </w:pPr>
      <w:r>
        <w:rPr>
          <w:rFonts w:hint="eastAsia"/>
        </w:rPr>
        <w:t xml:space="preserve">前端预览：仅展示最近一帧截图（轮询刷新），不接实时视频流。</w:t>
      </w:r>
    </w:p>
    <w:p w14:paraId="7E590235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2. 总体设计</w:t>
      </w:r>
    </w:p>
    <w:p w14:paraId="1779487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设计原则</w:t>
      </w:r>
    </w:p>
    <w:p w14:paraId="41FEF00E">
      <w:r>
        <w:rPr>
          <w:rFonts w:hint="eastAsia"/>
        </w:rPr>
        <w:t>模块化分层、闭环可演示、数据访问可替换（模拟↔真实）、环境一致（docker + .env）。</w:t>
      </w:r>
    </w:p>
    <w:p w14:paraId="56E746BD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五层架构</w:t>
      </w:r>
    </w:p>
    <w:p w14:paraId="71E477EB">
      <w:pPr>
        <w:numPr>
          <w:ilvl w:val="0"/>
          <w:numId w:val="2"/>
        </w:numPr>
      </w:pPr>
      <w:r>
        <w:rPr>
          <w:rFonts w:hint="eastAsia"/>
          <w:b w:val="1"/>
        </w:rPr>
        <w:t>图像采集层</w:t>
      </w:r>
      <w:r>
        <w:rPr>
          <w:rFonts w:hint="eastAsia"/>
        </w:rPr>
        <w:t>：摄像头/测试视频 → 定时抽帧</w:t>
      </w:r>
    </w:p>
    <w:p w14:paraId="36CB09F8">
      <w:pPr>
        <w:numPr>
          <w:ilvl w:val="0"/>
          <w:numId w:val="2"/>
        </w:numPr>
      </w:pPr>
      <w:r>
        <w:rPr>
          <w:rFonts w:hint="eastAsia"/>
          <w:b w:val="1"/>
        </w:rPr>
        <w:t>智能识别层</w:t>
      </w:r>
      <w:r>
        <w:rPr>
          <w:rFonts w:hint="eastAsia"/>
        </w:rPr>
        <w:t>：YOLO 车辆检测 + 车牌识别（号码 + 类型）</w:t>
      </w:r>
    </w:p>
    <w:p w14:paraId="485ED207">
      <w:pPr>
        <w:numPr>
          <w:ilvl w:val="0"/>
          <w:numId w:val="2"/>
        </w:numPr>
      </w:pPr>
      <w:r>
        <w:rPr>
          <w:rFonts w:hint="eastAsia"/>
          <w:b w:val="1"/>
        </w:rPr>
        <w:t>数据融合层</w:t>
      </w:r>
      <w:r>
        <w:rPr>
          <w:rFonts w:hint="eastAsia"/>
        </w:rPr>
        <w:t>：充电桩状态模拟库，按车牌号关联车辆与桩</w:t>
      </w:r>
    </w:p>
    <w:p w14:paraId="0F00337E">
      <w:pPr>
        <w:numPr>
          <w:ilvl w:val="0"/>
          <w:numId w:val="2"/>
        </w:numPr>
      </w:pPr>
      <w:r>
        <w:rPr>
          <w:rFonts w:hint="eastAsia"/>
          <w:b w:val="1"/>
        </w:rPr>
        <w:t>业务处理层</w:t>
      </w:r>
      <w:r>
        <w:rPr>
          <w:rFonts w:hint="eastAsia"/>
        </w:rPr>
        <w:t>：违规判断规则引擎</w:t>
      </w:r>
    </w:p>
    <w:p w14:paraId="7B38FC42">
      <w:pPr>
        <w:numPr>
          <w:ilvl w:val="0"/>
          <w:numId w:val="2"/>
        </w:numPr>
      </w:pPr>
      <w:r>
        <w:rPr>
          <w:rFonts w:hint="eastAsia"/>
          <w:b w:val="1"/>
        </w:rPr>
        <w:t>应用展示层</w:t>
      </w:r>
      <w:r>
        <w:rPr>
          <w:rFonts w:hint="eastAsia"/>
        </w:rPr>
        <w:t>：后台管理 Web + 报警提示 + 短信提醒</w:t>
      </w:r>
    </w:p>
    <w:p w14:paraId="105B764E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核心闭环</w:t>
      </w:r>
    </w:p>
    <w:p w14:paraId="3180515C"/>
    <w:p w14:paraId="3E72172B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drawing>
          <wp:inline distT="0" distB="0" distL="0" distR="0">
            <wp:extent cx="5760720" cy="5760720"/>
            <wp:effectExtent l="0" t="0" r="0" b="0"/>
            <wp:docPr id="2" name="文本框 utoz3u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126B399E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抽帧 → 车辆检测 → 车牌识别(号码+类型)</w:t>
                        </w:r>
                      </w:p>
                      <w:p w14:paraId="6FCA7295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  → 查库关联 → 获取充电状态(模拟)</w:t>
                        </w:r>
                      </w:p>
                      <w:p w14:paraId="36276244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  → 违规判断 → 命中则短信提醒+落库 → 后台可视化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  <w:b w:val="1"/>
          <w:sz w:val="32"/>
        </w:rPr>
        <w:t>3. 技术选型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1B328CA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层</w:t>
            </w:r>
          </w:p>
        </w:tc>
        <w:tc>
          <w:tcPr>
            <w:tcW w:w="2768" w:type="dxa"/>
          </w:tcPr>
          <w:p w14:paraId="1212EF6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选型</w:t>
            </w:r>
          </w:p>
        </w:tc>
        <w:tc>
          <w:tcPr>
            <w:tcW w:w="2768" w:type="dxa"/>
          </w:tcPr>
          <w:p w14:paraId="0DC96F9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 w14:paraId="22EDE712">
            <w:r>
              <w:rPr>
                <w:rFonts w:hint="eastAsia"/>
              </w:rPr>
              <w:t>后端</w:t>
            </w:r>
          </w:p>
        </w:tc>
        <w:tc>
          <w:tcPr>
            <w:tcW w:w="2768" w:type="dxa"/>
          </w:tcPr>
          <w:p w14:paraId="5BD7EE75">
            <w:r>
              <w:rPr>
                <w:rFonts w:hint="eastAsia"/>
              </w:rPr>
              <w:t>FastAPI（Python 3.11+）</w:t>
            </w:r>
          </w:p>
        </w:tc>
        <w:tc>
          <w:tcPr>
            <w:tcW w:w="2768" w:type="dxa"/>
          </w:tcPr>
          <w:p w14:paraId="277CC82A">
            <w:r>
              <w:rPr>
                <w:rFonts w:hint="eastAsia"/>
              </w:rPr>
              <w:t>异步、易出接口契约</w:t>
            </w:r>
          </w:p>
        </w:tc>
      </w:tr>
      <w:tr>
        <w:trPr/>
        <w:tc>
          <w:tcPr>
            <w:tcW w:w="2768" w:type="dxa"/>
          </w:tcPr>
          <w:p w14:paraId="3C59727D">
            <w:r>
              <w:rPr>
                <w:rFonts w:hint="eastAsia"/>
              </w:rPr>
              <w:t>前端</w:t>
            </w:r>
          </w:p>
        </w:tc>
        <w:tc>
          <w:tcPr>
            <w:tcW w:w="2768" w:type="dxa"/>
          </w:tcPr>
          <w:p w14:paraId="65491343">
            <w:r>
              <w:t>Vue 3 + Vite + Element Plus</w:t>
            </w:r>
          </w:p>
        </w:tc>
        <w:tc>
          <w:tcPr>
            <w:tcW w:w="2768" w:type="dxa"/>
          </w:tcPr>
          <w:p w14:paraId="6C03CBDA">
            <w:r>
              <w:rPr>
                <w:rFonts w:hint="eastAsia"/>
              </w:rPr>
              <w:t>MVP 极简后台；预览仅取最近一帧</w:t>
            </w:r>
          </w:p>
        </w:tc>
      </w:tr>
      <w:tr>
        <w:trPr/>
        <w:tc>
          <w:tcPr>
            <w:tcW w:w="2768" w:type="dxa"/>
          </w:tcPr>
          <w:p w14:paraId="22CAA361">
            <w:r>
              <w:rPr>
                <w:rFonts w:hint="eastAsia"/>
              </w:rPr>
              <w:t>数据库</w:t>
            </w:r>
          </w:p>
        </w:tc>
        <w:tc>
          <w:tcPr>
            <w:tcW w:w="2768" w:type="dxa"/>
          </w:tcPr>
          <w:p w14:paraId="32C974ED">
            <w:r>
              <w:t>MySQL 8</w:t>
            </w:r>
          </w:p>
        </w:tc>
        <w:tc>
          <w:tcPr>
            <w:tcW w:w="2768" w:type="dxa"/>
          </w:tcPr>
          <w:p w14:paraId="6307FCAE">
            <w:r>
              <w:rPr>
                <w:rFonts w:hint="eastAsia"/>
              </w:rPr>
              <w:t>docker-compose 起，.env 管连接</w:t>
            </w:r>
          </w:p>
        </w:tc>
      </w:tr>
      <w:tr>
        <w:trPr/>
        <w:tc>
          <w:tcPr>
            <w:tcW w:w="2768" w:type="dxa"/>
          </w:tcPr>
          <w:p w14:paraId="782F86FE">
            <w:r>
              <w:rPr>
                <w:rFonts w:hint="eastAsia"/>
              </w:rPr>
              <w:t>检测</w:t>
            </w:r>
          </w:p>
        </w:tc>
        <w:tc>
          <w:tcPr>
            <w:tcW w:w="2768" w:type="dxa"/>
          </w:tcPr>
          <w:p w14:paraId="57AC57C4">
            <w:r>
              <w:t>Ultralytics YOLOv8</w:t>
            </w:r>
          </w:p>
        </w:tc>
        <w:tc>
          <w:tcPr>
            <w:tcW w:w="2768" w:type="dxa"/>
          </w:tcPr>
          <w:p w14:paraId="411276CF">
            <w:r>
              <w:rPr>
                <w:rFonts w:hint="eastAsia"/>
              </w:rPr>
              <w:t>预训练起步，后续微调</w:t>
            </w:r>
          </w:p>
        </w:tc>
      </w:tr>
      <w:tr>
        <w:trPr/>
        <w:tc>
          <w:tcPr>
            <w:tcW w:w="2768" w:type="dxa"/>
          </w:tcPr>
          <w:p w14:paraId="5603C13A">
            <w:r>
              <w:rPr>
                <w:rFonts w:hint="eastAsia"/>
              </w:rPr>
              <w:t>车牌</w:t>
            </w:r>
          </w:p>
        </w:tc>
        <w:tc>
          <w:tcPr>
            <w:tcW w:w="2768" w:type="dxa"/>
          </w:tcPr>
          <w:p w14:paraId="463924FF">
            <w:r>
              <w:rPr>
                <w:rFonts w:hint="eastAsia"/>
              </w:rPr>
              <w:t>HyperLPR（主）/ PaddleOCR（备选） + 底色判定</w:t>
            </w:r>
          </w:p>
        </w:tc>
        <w:tc>
          <w:tcPr>
            <w:tcW w:w="2768" w:type="dxa"/>
          </w:tcPr>
          <w:p w14:paraId="563F7C70">
            <w:r>
              <w:rPr>
                <w:rFonts w:hint="eastAsia"/>
              </w:rPr>
              <w:t>绿/蓝牌分车型</w:t>
            </w:r>
          </w:p>
        </w:tc>
      </w:tr>
      <w:tr>
        <w:trPr/>
        <w:tc>
          <w:tcPr>
            <w:tcW w:w="2768" w:type="dxa"/>
          </w:tcPr>
          <w:p w14:paraId="6957E398">
            <w:r>
              <w:rPr>
                <w:rFonts w:hint="eastAsia"/>
              </w:rPr>
              <w:t>提醒</w:t>
            </w:r>
          </w:p>
        </w:tc>
        <w:tc>
          <w:tcPr>
            <w:tcW w:w="2768" w:type="dxa"/>
          </w:tcPr>
          <w:p w14:paraId="329E1A31">
            <w:r>
              <w:rPr>
                <w:rFonts w:hint="eastAsia"/>
              </w:rPr>
              <w:t>阿里云/腾讯云短信 SDK</w:t>
            </w:r>
          </w:p>
        </w:tc>
        <w:tc>
          <w:tcPr>
            <w:tcW w:w="2768" w:type="dxa"/>
          </w:tcPr>
          <w:p w14:paraId="5CADB542">
            <w:r>
              <w:rPr>
                <w:rFonts w:hint="eastAsia"/>
              </w:rPr>
              <w:t>沙箱/真实双模式</w:t>
            </w:r>
          </w:p>
        </w:tc>
      </w:tr>
      <w:tr>
        <w:tc>
          <w:tcPr>
            <w:tcW w:type="dxa" w:w="2768"/>
          </w:tcPr>
          <w:p>
            <w:r>
              <w:t>部署</w:t>
            </w:r>
          </w:p>
        </w:tc>
        <w:tc>
          <w:tcPr>
            <w:tcW w:type="dxa" w:w="2768"/>
          </w:tcPr>
          <w:p>
            <w:r>
              <w:t>推理与 Web 服务拆分为独立进程</w:t>
            </w:r>
          </w:p>
        </w:tc>
        <w:tc>
          <w:tcPr>
            <w:tcW w:type="dxa" w:w="2768"/>
          </w:tcPr>
          <w:p>
            <w:r>
              <w:t>Web 仅读库 + 前端接口</w:t>
            </w:r>
          </w:p>
        </w:tc>
      </w:tr>
      <w:tr>
        <w:tc>
          <w:tcPr>
            <w:tcW w:type="dxa" w:w="2768"/>
          </w:tcPr>
          <w:p>
            <w:r>
              <w:t>预览</w:t>
            </w:r>
          </w:p>
        </w:tc>
        <w:tc>
          <w:tcPr>
            <w:tcW w:type="dxa" w:w="2768"/>
          </w:tcPr>
          <w:p>
            <w:r>
              <w:t>最近一帧截图轮询</w:t>
            </w:r>
          </w:p>
        </w:tc>
        <w:tc>
          <w:tcPr>
            <w:tcW w:type="dxa" w:w="2768"/>
          </w:tcPr>
          <w:p>
            <w:r>
              <w:t>不接实时视频流</w:t>
            </w:r>
          </w:p>
        </w:tc>
      </w:tr>
    </w:tbl>
    <w:p w14:paraId="65A47DD6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4. 主要功能模块</w:t>
      </w:r>
    </w:p>
    <w:p w14:paraId="4E960784">
      <w:pPr>
        <w:numPr>
          <w:ilvl w:val="0"/>
          <w:numId w:val="1"/>
        </w:numPr>
      </w:pPr>
      <w:r>
        <w:rPr>
          <w:rFonts w:hint="eastAsia"/>
          <w:b w:val="1"/>
        </w:rPr>
        <w:t>M1 采集</w:t>
      </w:r>
      <w:r>
        <w:rPr>
          <w:rFonts w:hint="eastAsia"/>
        </w:rPr>
        <w:t>：读测试视频/图片，OpenCV 抽帧，输出标准化帧。</w:t>
      </w:r>
    </w:p>
    <w:p w14:paraId="33804DD7">
      <w:pPr>
        <w:numPr>
          <w:ilvl w:val="0"/>
          <w:numId w:val="1"/>
        </w:numPr>
      </w:pPr>
      <w:r>
        <w:rPr>
          <w:rFonts w:hint="eastAsia"/>
          <w:b w:val="1"/>
        </w:rPr>
        <w:t>M2 检测</w:t>
      </w:r>
      <w:r>
        <w:rPr>
          <w:rFonts w:hint="eastAsia"/>
        </w:rPr>
        <w:t>：YOLOv8 检测车辆，输出 bbox + 置信度。</w:t>
      </w:r>
    </w:p>
    <w:p w14:paraId="3E3203E4">
      <w:pPr>
        <w:numPr>
          <w:ilvl w:val="0"/>
          <w:numId w:val="1"/>
        </w:numPr>
      </w:pPr>
      <w:r>
        <w:rPr>
          <w:rFonts w:hint="eastAsia"/>
          <w:b w:val="1"/>
        </w:rPr>
        <w:t>M3 车牌+车型</w:t>
      </w:r>
      <w:r>
        <w:rPr>
          <w:rFonts w:hint="eastAsia"/>
        </w:rPr>
        <w:t>：识别号码并判定新能源/燃油（绿/蓝牌）。</w:t>
      </w:r>
    </w:p>
    <w:p w14:paraId="230051F9">
      <w:pPr>
        <w:numPr>
          <w:ilvl w:val="0"/>
          <w:numId w:val="1"/>
        </w:numPr>
      </w:pPr>
      <w:r>
        <w:rPr>
          <w:rFonts w:hint="eastAsia"/>
          <w:b w:val="1"/>
        </w:rPr>
        <w:t>M4 充电模拟</w:t>
      </w:r>
      <w:r>
        <w:rPr>
          <w:rFonts w:hint="eastAsia"/>
        </w:rPr>
        <w:t>：车牌↔桩状态种子数据，定时更新，预留 OCPP。</w:t>
      </w:r>
    </w:p>
    <w:p w14:paraId="742D2F4D">
      <w:pPr>
        <w:numPr>
          <w:ilvl w:val="0"/>
          <w:numId w:val="1"/>
        </w:numPr>
      </w:pPr>
      <w:r>
        <w:rPr>
          <w:rFonts w:hint="eastAsia"/>
          <w:b w:val="1"/>
        </w:rPr>
        <w:t>M5 规则引擎</w:t>
      </w:r>
      <w:r>
        <w:rPr>
          <w:rFonts w:hint="eastAsia"/>
        </w:rPr>
        <w:t>：四条规则判定违规，阈值可配置。</w:t>
      </w:r>
    </w:p>
    <w:p w14:paraId="7892FE71">
      <w:pPr>
        <w:numPr>
          <w:ilvl w:val="0"/>
          <w:numId w:val="1"/>
        </w:numPr>
      </w:pPr>
      <w:r>
        <w:rPr>
          <w:rFonts w:hint="eastAsia"/>
          <w:b w:val="1"/>
        </w:rPr>
        <w:t>M6 短信</w:t>
      </w:r>
      <w:r>
        <w:rPr>
          <w:rFonts w:hint="eastAsia"/>
        </w:rPr>
        <w:t>：查车主手机号 → 调短信 API（沙箱默认）→ 记录。</w:t>
      </w:r>
    </w:p>
    <w:p w14:paraId="4257FB60">
      <w:pPr>
        <w:numPr>
          <w:ilvl w:val="0"/>
          <w:numId w:val="1"/>
        </w:numPr>
      </w:pPr>
      <w:r>
        <w:rPr>
          <w:rFonts w:hint="eastAsia"/>
          <w:b w:val="1"/>
        </w:rPr>
        <w:t>M7 后台</w:t>
      </w:r>
      <w:r>
        <w:rPr>
          <w:rFonts w:hint="eastAsia"/>
        </w:rPr>
        <w:t>：实时画面预览、车辆/违规管理、状态展示、基础统计。</w:t>
      </w:r>
    </w:p>
    <w:p w14:paraId="16CE9BDA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四条违规规则</w:t>
      </w:r>
    </w:p>
    <w:p w14:paraId="50244AF9">
      <w:pPr>
        <w:numPr>
          <w:ilvl w:val="0"/>
          <w:numId w:val="2"/>
        </w:numPr>
      </w:pPr>
      <w:r>
        <w:rPr>
          <w:rFonts w:hint="eastAsia"/>
        </w:rPr>
        <w:t>燃油车（蓝牌）占充电位 → 违规占位</w:t>
      </w:r>
    </w:p>
    <w:p w14:paraId="704BD5E5">
      <w:pPr>
        <w:numPr>
          <w:ilvl w:val="0"/>
          <w:numId w:val="2"/>
        </w:numPr>
      </w:pPr>
      <w:r>
        <w:rPr>
          <w:rFonts w:hint="eastAsia"/>
        </w:rPr>
        <w:t>新能源车未充电且久停 → 异常占位</w:t>
      </w:r>
    </w:p>
    <w:p w14:paraId="32498080">
      <w:pPr>
        <w:numPr>
          <w:ilvl w:val="0"/>
          <w:numId w:val="2"/>
        </w:numPr>
      </w:pPr>
      <w:r>
        <w:rPr>
          <w:rFonts w:hint="eastAsia"/>
        </w:rPr>
        <w:t>新能源车充满超时未离 → 充满未移车</w:t>
      </w:r>
    </w:p>
    <w:p w14:paraId="7FDD1613">
      <w:pPr>
        <w:numPr>
          <w:ilvl w:val="0"/>
          <w:numId w:val="2"/>
        </w:numPr>
      </w:pPr>
      <w:r>
        <w:rPr>
          <w:rFonts w:hint="eastAsia"/>
        </w:rPr>
        <w:t>正常充电 → 不提醒</w:t>
      </w:r>
    </w:p>
    <w:p w14:paraId="07361CA4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5. 数据模型（核心表）</w:t>
      </w:r>
    </w:p>
    <w:p w14:paraId="1C6511CA">
      <w:pPr>
        <w:numPr>
          <w:ilvl w:val="0"/>
          <w:numId w:val="1"/>
        </w:numPr>
      </w:pPr>
      <w:r>
        <w:rPr>
          <w:rFonts w:ascii="Consolas" w:hAnsi="Consolas" w:eastAsia="Consolas" w:cs="Consolas"/>
          <w:shd w:val="clear" w:fill="f5f5f5"/>
        </w:rPr>
        <w:t>vehicle</w:t>
      </w:r>
      <w:r>
        <w:rPr>
          <w:rFonts w:hint="eastAsia"/>
        </w:rPr>
        <w:t>：车牌号、类型、车主、手机号</w:t>
      </w:r>
    </w:p>
    <w:p w14:paraId="6680A3FB">
      <w:pPr>
        <w:numPr>
          <w:ilvl w:val="0"/>
          <w:numId w:val="1"/>
        </w:numPr>
      </w:pPr>
      <w:r>
        <w:rPr>
          <w:rFonts w:ascii="Consolas" w:hAnsi="Consolas" w:eastAsia="Consolas" w:cs="Consolas"/>
          <w:shd w:val="clear" w:fill="f5f5f5"/>
        </w:rPr>
        <w:t>charging_pile</w:t>
      </w:r>
      <w:r>
        <w:rPr>
          <w:rFonts w:hint="eastAsia"/>
        </w:rPr>
        <w:t>：桩 ID、状态、绑定车牌、起止时间</w:t>
      </w:r>
    </w:p>
    <w:p w14:paraId="7BF8C048">
      <w:pPr>
        <w:numPr>
          <w:ilvl w:val="0"/>
          <w:numId w:val="1"/>
        </w:numPr>
      </w:pPr>
      <w:r>
        <w:rPr>
          <w:rFonts w:ascii="Consolas" w:hAnsi="Consolas" w:eastAsia="Consolas" w:cs="Consolas"/>
          <w:shd w:val="clear" w:fill="f5f5f5"/>
        </w:rPr>
        <w:t>occupation_record</w:t>
      </w:r>
      <w:r>
        <w:rPr>
          <w:rFonts w:hint="eastAsia"/>
        </w:rPr>
        <w:t>：违规记录（车牌、类型、时间、命中规则、提醒状态）</w:t>
      </w:r>
    </w:p>
    <w:p w14:paraId="4D246FE3">
      <w:pPr>
        <w:numPr>
          <w:ilvl w:val="0"/>
          <w:numId w:val="1"/>
        </w:numPr>
      </w:pPr>
      <w:r>
        <w:rPr>
          <w:rFonts w:ascii="Consolas" w:hAnsi="Consolas" w:eastAsia="Consolas" w:cs="Consolas"/>
          <w:shd w:val="clear" w:fill="f5f5f5"/>
        </w:rPr>
        <w:t>system_config</w:t>
      </w:r>
      <w:r>
        <w:rPr>
          <w:rFonts w:hint="eastAsia"/>
        </w:rPr>
        <w:t>：超时阈值、识别参数</w:t>
      </w:r>
    </w:p>
    <w:p w14:paraId="55EB0691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6. MVP 范围与迭代</w:t>
      </w:r>
    </w:p>
    <w:p w14:paraId="295D0E3D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MVP 必做</w:t>
      </w:r>
    </w:p>
    <w:p w14:paraId="1B019BC3">
      <w:r>
        <w:rPr>
          <w:rFonts w:hint="eastAsia"/>
        </w:rPr>
        <w:t>M1–M5 后端闭环 + M6 短信沙箱 + M7 极简后台单页；用测试数据跑通完整闭环。</w:t>
      </w:r>
    </w:p>
    <w:p w14:paraId="2B126357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暂缓（后续迭代）</w:t>
      </w:r>
    </w:p>
    <w:p w14:paraId="6AB697A0">
      <w:r>
        <w:rPr>
          <w:rFonts w:hint="eastAsia"/>
        </w:rPr>
        <w:t>真实摄像头接入、模型微调冲指标、目标跟踪去重、参数配置 UI、OCPP 真实适配、统计图表、软著/专利。</w:t>
      </w:r>
    </w:p>
    <w:p w14:paraId="612707EA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里程碑</w:t>
      </w:r>
    </w:p>
    <w:p w14:paraId="3449F97D">
      <w:pPr>
        <w:numPr>
          <w:ilvl w:val="0"/>
          <w:numId w:val="1"/>
        </w:numPr>
      </w:pPr>
      <w:r>
        <w:rPr>
          <w:rFonts w:hint="eastAsia"/>
        </w:rPr>
        <w:t>S1（1–2月）需求与方案、环境搭建、技术验证</w:t>
      </w:r>
    </w:p>
    <w:p w14:paraId="766C22A8">
      <w:pPr>
        <w:numPr>
          <w:ilvl w:val="0"/>
          <w:numId w:val="1"/>
        </w:numPr>
      </w:pPr>
      <w:r>
        <w:rPr>
          <w:rFonts w:hint="eastAsia"/>
        </w:rPr>
        <w:t>S2（3–5月）识别与数据、规则引擎</w:t>
      </w:r>
    </w:p>
    <w:p w14:paraId="37B2540F">
      <w:pPr>
        <w:numPr>
          <w:ilvl w:val="0"/>
          <w:numId w:val="1"/>
        </w:numPr>
      </w:pPr>
      <w:r>
        <w:rPr>
          <w:rFonts w:hint="eastAsia"/>
        </w:rPr>
        <w:t>S3（6–7月）提醒与平台、联调优化</w:t>
      </w:r>
    </w:p>
    <w:p w14:paraId="3676C0A7">
      <w:pPr>
        <w:numPr>
          <w:ilvl w:val="0"/>
          <w:numId w:val="1"/>
        </w:numPr>
      </w:pPr>
      <w:r>
        <w:rPr>
          <w:rFonts w:hint="eastAsia"/>
        </w:rPr>
        <w:t>S4（8月）验收结题、材料与答辩</w:t>
      </w:r>
    </w:p>
    <w:p w14:paraId="3D2C1D5E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7. 关键设计决策与风险</w:t>
      </w:r>
    </w:p>
    <w:p w14:paraId="765A66F5">
      <w:pPr>
        <w:numPr>
          <w:ilvl w:val="0"/>
          <w:numId w:val="1"/>
        </w:numPr>
      </w:pPr>
      <w:r>
        <w:rPr>
          <w:rFonts w:hint="eastAsia"/>
          <w:b w:val="1"/>
        </w:rPr>
        <w:t>车型判定</w:t>
      </w:r>
      <w:r>
        <w:rPr>
          <w:rFonts w:hint="eastAsia"/>
        </w:rPr>
        <w:t>：绿/蓝牌区分，绕开外观不可分难题。</w:t>
      </w:r>
    </w:p>
    <w:p w14:paraId="1D924E87">
      <w:pPr>
        <w:numPr>
          <w:ilvl w:val="0"/>
          <w:numId w:val="1"/>
        </w:numPr>
      </w:pPr>
      <w:r>
        <w:rPr>
          <w:rFonts w:hint="eastAsia"/>
          <w:b w:val="1"/>
        </w:rPr>
        <w:t>充电模拟</w:t>
      </w:r>
      <w:r>
        <w:rPr>
          <w:rFonts w:hint="eastAsia"/>
        </w:rPr>
        <w:t>：种子数据 + 时间缩放系数，便于演示"充满超时"。</w:t>
      </w:r>
    </w:p>
    <w:p w14:paraId="34E771BA">
      <w:pPr>
        <w:numPr>
          <w:ilvl w:val="0"/>
          <w:numId w:val="1"/>
        </w:numPr>
      </w:pPr>
      <w:r>
        <w:rPr>
          <w:rFonts w:hint="eastAsia"/>
          <w:b w:val="1"/>
        </w:rPr>
        <w:t>短信</w:t>
      </w:r>
      <w:r>
        <w:rPr>
          <w:rFonts w:hint="eastAsia"/>
        </w:rPr>
        <w:t>：沙箱默认，答辩前切真实，避免误计费。</w:t>
      </w:r>
    </w:p>
    <w:p w14:paraId="4B49EBCE">
      <w:pPr>
        <w:numPr>
          <w:ilvl w:val="0"/>
          <w:numId w:val="1"/>
        </w:numPr>
      </w:pPr>
      <w:r>
        <w:rPr>
          <w:rFonts w:hint="eastAsia"/>
          <w:b w:val="1"/>
        </w:rPr>
        <w:t>演示模式</w:t>
      </w:r>
      <w:r>
        <w:rPr>
          <w:rFonts w:hint="eastAsia"/>
        </w:rPr>
        <w:t>：内置预设车牌↔状态，保证答辩稳定出违规。</w:t>
      </w:r>
    </w:p>
    <w:p w14:paraId="0C7249FF">
      <w:pPr>
        <w:numPr>
          <w:ilvl w:val="0"/>
          <w:numId w:val="1"/>
        </w:numPr>
      </w:pPr>
      <w:r>
        <w:rPr>
          <w:rFonts w:hint="eastAsia"/>
          <w:b w:val="1"/>
        </w:rPr>
        <w:t>性能</w:t>
      </w:r>
      <w:r>
        <w:rPr>
          <w:rFonts w:hint="eastAsia"/>
        </w:rPr>
        <w:t>：CPU 推理单帧数百 ms，抽帧降频 1–2 fps 满足演示。</w:t>
      </w:r>
    </w:p>
    <w:p w14:paraId="4B4FB7CE">
      <w:pPr>
        <w:numPr>
          <w:ilvl w:val="0"/>
          <w:numId w:val="1"/>
        </w:numPr>
      </w:pPr>
      <w:r>
        <w:rPr>
          <w:rFonts w:hint="eastAsia"/>
          <w:b w:val="1"/>
        </w:rPr>
        <w:t>协作</w:t>
      </w:r>
      <w:r>
        <w:rPr>
          <w:rFonts w:hint="eastAsia"/>
        </w:rPr>
        <w:t>：Git 仓库 + 分支 + README，克隆即起服务。</w:t>
      </w:r>
    </w:p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0" Type="http://schemas.openxmlformats.org/officeDocument/2006/relationships/styles" Target="styles.xml"/><Relationship Id="rId3" Type="http://schemas.openxmlformats.org/officeDocument/2006/relationships/theme" Target="theme/theme1.xml"/><Relationship Id="rId2" Type="http://schemas.openxmlformats.org/officeDocument/2006/relationships/fontTable" Target="fontTable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2026-09-07T20:15:33Z</dcterms:created>
  <dcterms:modified xsi:type="dcterms:W3CDTF">2026-09-07T20:15:33Z</dcterms:modified>
</cp:coreProperties>
</file>