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jpg" ContentType="image/jpeg"/>
  <Override PartName="/word/media/rId70.jpg" ContentType="image/jpeg"/>
  <Override PartName="/word/media/rId73.jpg" ContentType="image/jpeg"/>
  <Override PartName="/word/media/rId76.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Cirlene</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22</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22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38" w:name="writing-empirical-manuscripts"/>
    <w:p>
      <w:pPr>
        <w:pStyle w:val="Heading1"/>
      </w:pPr>
      <w:r>
        <w:t xml:space="preserve">WRITING EMPIRICAL MANUSCRIPTS</w:t>
      </w:r>
    </w:p>
    <w:bookmarkEnd w:id="38"/>
    <w:bookmarkStart w:id="92" w:name="APAstyle"/>
    <w:p>
      <w:pPr>
        <w:pStyle w:val="Heading1"/>
      </w:pPr>
      <w:r>
        <w:rPr>
          <w:rStyle w:val="SectionNumber"/>
        </w:rPr>
        <w:t xml:space="preserve">1</w:t>
      </w:r>
      <w:r>
        <w:tab/>
      </w:r>
      <w:r>
        <w:t xml:space="preserve">The APA Style Manuscript</w:t>
      </w:r>
    </w:p>
    <w:p>
      <w:pPr>
        <w:pStyle w:val="FirstParagraph"/>
      </w:pPr>
      <w:hyperlink r:id="rId39">
        <w:r>
          <w:rPr>
            <w:rStyle w:val="Hyperlink"/>
          </w:rPr>
          <w:t xml:space="preserve">Screencasted Lecture Link</w:t>
        </w:r>
      </w:hyperlink>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04"/>
        </w:numPr>
        <w:pStyle w:val="Compact"/>
      </w:pPr>
      <w:r>
        <w:t xml:space="preserve">APA style as epistemology – and its relationship with power, privilege, and racism.</w:t>
      </w:r>
    </w:p>
    <w:p>
      <w:pPr>
        <w:numPr>
          <w:ilvl w:val="0"/>
          <w:numId w:val="1004"/>
        </w:numPr>
        <w:pStyle w:val="Compact"/>
      </w:pPr>
      <w:r>
        <w:t xml:space="preserve">JARS: Journal Article Reporting Standards</w:t>
      </w:r>
    </w:p>
    <w:p>
      <w:pPr>
        <w:numPr>
          <w:ilvl w:val="0"/>
          <w:numId w:val="1004"/>
        </w:numPr>
        <w:pStyle w:val="Compact"/>
      </w:pPr>
      <w:r>
        <w:t xml:space="preserve">Section by section</w:t>
      </w:r>
    </w:p>
    <w:p>
      <w:pPr>
        <w:numPr>
          <w:ilvl w:val="0"/>
          <w:numId w:val="1004"/>
        </w:numPr>
        <w:pStyle w:val="Compact"/>
      </w:pPr>
      <w:r>
        <w:t xml:space="preserve">Consideration of writing as a developmental process that occurs throughout grad school and into the profession</w:t>
      </w:r>
    </w:p>
    <w:p>
      <w:pPr>
        <w:numPr>
          <w:ilvl w:val="0"/>
          <w:numId w:val="1004"/>
        </w:numPr>
        <w:pStyle w:val="Compact"/>
      </w:pPr>
      <w:r>
        <w:t xml:space="preserve">Stylistic issues</w:t>
      </w:r>
    </w:p>
    <w:p>
      <w:pPr>
        <w:numPr>
          <w:ilvl w:val="0"/>
          <w:numId w:val="1004"/>
        </w:numPr>
        <w:pStyle w:val="Compact"/>
      </w:pPr>
      <w:r>
        <w:t xml:space="preserve">Hallmarks of APA style</w:t>
      </w:r>
    </w:p>
    <w:p>
      <w:pPr>
        <w:numPr>
          <w:ilvl w:val="0"/>
          <w:numId w:val="1004"/>
        </w:numPr>
        <w:pStyle w:val="Compact"/>
      </w:pPr>
      <w:r>
        <w:t xml:space="preserve">Reducing bias</w:t>
      </w:r>
    </w:p>
    <w:bookmarkStart w:id="50" w:name="navigating-this-lesson"/>
    <w:p>
      <w:pPr>
        <w:pStyle w:val="Heading2"/>
      </w:pPr>
      <w:r>
        <w:rPr>
          <w:rStyle w:val="SectionNumber"/>
        </w:rPr>
        <w:t xml:space="preserve">1.1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40">
        <w:r>
          <w:rPr>
            <w:rStyle w:val="Hyperlink"/>
          </w:rPr>
          <w:t xml:space="preserve">OER’s GitHub site</w:t>
        </w:r>
      </w:hyperlink>
      <w:r>
        <w:t xml:space="preserve">.</w:t>
      </w:r>
    </w:p>
    <w:bookmarkStart w:id="41" w:name="learning-objectives"/>
    <w:p>
      <w:pPr>
        <w:pStyle w:val="Heading3"/>
      </w:pPr>
      <w:r>
        <w:rPr>
          <w:rStyle w:val="SectionNumber"/>
        </w:rPr>
        <w:t xml:space="preserve">1.1.1</w:t>
      </w:r>
      <w:r>
        <w:tab/>
      </w:r>
      <w:r>
        <w:t xml:space="preserve">Learning Objectives</w:t>
      </w:r>
    </w:p>
    <w:p>
      <w:pPr>
        <w:pStyle w:val="FirstParagraph"/>
      </w:pPr>
      <w:r>
        <w:t xml:space="preserve">Learning objectives from this lecture include the following:</w:t>
      </w:r>
    </w:p>
    <w:p>
      <w:pPr>
        <w:numPr>
          <w:ilvl w:val="0"/>
          <w:numId w:val="1005"/>
        </w:numPr>
        <w:pStyle w:val="Compact"/>
      </w:pPr>
      <w:r>
        <w:t xml:space="preserve">Identify the cultural characteristics of APA style.</w:t>
      </w:r>
    </w:p>
    <w:p>
      <w:pPr>
        <w:numPr>
          <w:ilvl w:val="0"/>
          <w:numId w:val="1005"/>
        </w:numPr>
        <w:pStyle w:val="Compact"/>
      </w:pPr>
      <w:r>
        <w:t xml:space="preserve">Identify two ways that Thompson (2004) has suggested that APA style perpetuates Whiteness and patriarchy in the academy.</w:t>
      </w:r>
    </w:p>
    <w:p>
      <w:pPr>
        <w:numPr>
          <w:ilvl w:val="0"/>
          <w:numId w:val="1005"/>
        </w:numPr>
        <w:pStyle w:val="Compact"/>
      </w:pPr>
      <w:r>
        <w:t xml:space="preserve">List the components of an abstract.</w:t>
      </w:r>
    </w:p>
    <w:p>
      <w:pPr>
        <w:numPr>
          <w:ilvl w:val="0"/>
          <w:numId w:val="1005"/>
        </w:numPr>
        <w:pStyle w:val="Compact"/>
      </w:pPr>
      <w:r>
        <w:t xml:space="preserve">Describe why JARS matters.</w:t>
      </w:r>
    </w:p>
    <w:p>
      <w:pPr>
        <w:numPr>
          <w:ilvl w:val="0"/>
          <w:numId w:val="1005"/>
        </w:numPr>
        <w:pStyle w:val="Compact"/>
      </w:pPr>
      <w:r>
        <w:t xml:space="preserve">Begin memorizing the minutia of APA Style for writing empirical manuscripts/journal articles (no particular order).</w:t>
      </w:r>
    </w:p>
    <w:bookmarkEnd w:id="41"/>
    <w:bookmarkStart w:id="49" w:name="readings-resources"/>
    <w:p>
      <w:pPr>
        <w:pStyle w:val="Heading3"/>
      </w:pPr>
      <w:r>
        <w:rPr>
          <w:rStyle w:val="SectionNumber"/>
        </w:rPr>
        <w:t xml:space="preserve">1.1.2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0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07"/>
        </w:numPr>
        <w:pStyle w:val="Compact"/>
      </w:pPr>
      <w:r>
        <w:t xml:space="preserve">I’m guessing you’ll use this more days than not, for the rest of your education.</w:t>
      </w:r>
    </w:p>
    <w:p>
      <w:pPr>
        <w:numPr>
          <w:ilvl w:val="0"/>
          <w:numId w:val="100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42">
        <w:r>
          <w:rPr>
            <w:rStyle w:val="Hyperlink"/>
          </w:rPr>
          <w:t xml:space="preserve">https://doi.org/10.1037/cou0000034</w:t>
        </w:r>
      </w:hyperlink>
    </w:p>
    <w:p>
      <w:pPr>
        <w:numPr>
          <w:ilvl w:val="1"/>
          <w:numId w:val="100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0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43">
        <w:r>
          <w:rPr>
            <w:rStyle w:val="Hyperlink"/>
          </w:rPr>
          <w:t xml:space="preserve">https://alliance-primo.hosted.exlibrisgroup.com/permalink/f/rpqmv/CP71332049420001451</w:t>
        </w:r>
      </w:hyperlink>
    </w:p>
    <w:p>
      <w:pPr>
        <w:numPr>
          <w:ilvl w:val="1"/>
          <w:numId w:val="100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06"/>
        </w:numPr>
        <w:pStyle w:val="Compact"/>
      </w:pPr>
      <w:r>
        <w:t xml:space="preserve">Madigan, R., Johnson, S., &amp; Linton, P. (1995). The language of psychology: APA style as epistemology. American Psychologist, 50(6), 428–436.</w:t>
      </w:r>
      <w:r>
        <w:t xml:space="preserve"> </w:t>
      </w:r>
      <w:hyperlink r:id="rId44">
        <w:r>
          <w:rPr>
            <w:rStyle w:val="Hyperlink"/>
          </w:rPr>
          <w:t xml:space="preserve">https://doi.org/10.1037/0003-066X.50.6.428</w:t>
        </w:r>
      </w:hyperlink>
    </w:p>
    <w:p>
      <w:pPr>
        <w:numPr>
          <w:ilvl w:val="1"/>
          <w:numId w:val="1010"/>
        </w:numPr>
        <w:pStyle w:val="Compact"/>
      </w:pPr>
      <w:r>
        <w:t xml:space="preserve">Madigan et al. (1995) argued that as we learn APA style we are inculcating the professional values of our discipline (and we do this without awareness).</w:t>
      </w:r>
    </w:p>
    <w:p>
      <w:pPr>
        <w:numPr>
          <w:ilvl w:val="0"/>
          <w:numId w:val="100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45">
        <w:r>
          <w:rPr>
            <w:rStyle w:val="Hyperlink"/>
          </w:rPr>
          <w:t xml:space="preserve">https://doi.org/10.1111/j.0013-2004.2004.00002.x</w:t>
        </w:r>
      </w:hyperlink>
    </w:p>
    <w:p>
      <w:pPr>
        <w:numPr>
          <w:ilvl w:val="0"/>
          <w:numId w:val="1006"/>
        </w:numPr>
        <w:pStyle w:val="Compact"/>
      </w:pPr>
      <w:r>
        <w:t xml:space="preserve">Critiquing the 5th edition of the style manual (we’re now on the 7th) Thompson (2004) pointed out how aspects of APA style contribute to preserving Whiteness.</w:t>
      </w:r>
    </w:p>
    <w:p>
      <w:pPr>
        <w:numPr>
          <w:ilvl w:val="0"/>
          <w:numId w:val="100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46">
        <w:r>
          <w:rPr>
            <w:rStyle w:val="Hyperlink"/>
          </w:rPr>
          <w:t xml:space="preserve">https://doi.org/10.1037/amp0000191</w:t>
        </w:r>
      </w:hyperlink>
    </w:p>
    <w:p>
      <w:pPr>
        <w:numPr>
          <w:ilvl w:val="1"/>
          <w:numId w:val="1011"/>
        </w:numPr>
        <w:pStyle w:val="Compact"/>
      </w:pPr>
      <w:r>
        <w:t xml:space="preserve">Yet another copy of the most current JARS. You can also find them in the style manual and on their own website:</w:t>
      </w:r>
      <w:r>
        <w:t xml:space="preserve"> </w:t>
      </w:r>
      <w:hyperlink r:id="rId47">
        <w:r>
          <w:rPr>
            <w:rStyle w:val="Hyperlink"/>
          </w:rPr>
          <w:t xml:space="preserve">https://apastyle.apa.org/jars/glossary</w:t>
        </w:r>
      </w:hyperlink>
    </w:p>
    <w:p>
      <w:pPr>
        <w:numPr>
          <w:ilvl w:val="0"/>
          <w:numId w:val="1006"/>
        </w:numPr>
        <w:pStyle w:val="Compact"/>
      </w:pPr>
      <w:r>
        <w:rPr>
          <w:iCs/>
          <w:i/>
        </w:rPr>
        <w:t xml:space="preserve">White Supremacy Culture.</w:t>
      </w:r>
      <w:r>
        <w:t xml:space="preserve"> </w:t>
      </w:r>
      <w:r>
        <w:t xml:space="preserve">(n.d.). DRworksBook. Retrieved August 8, 2020, from</w:t>
      </w:r>
      <w:r>
        <w:t xml:space="preserve"> </w:t>
      </w:r>
      <w:hyperlink r:id="rId48">
        <w:r>
          <w:rPr>
            <w:rStyle w:val="Hyperlink"/>
          </w:rPr>
          <w:t xml:space="preserve">https://www.dismantlingracism.org/white-supremacy-culture.html</w:t>
        </w:r>
      </w:hyperlink>
    </w:p>
    <w:p>
      <w:pPr>
        <w:numPr>
          <w:ilvl w:val="1"/>
          <w:numId w:val="1012"/>
        </w:numPr>
        <w:pStyle w:val="Compact"/>
      </w:pPr>
      <w:r>
        <w:t xml:space="preserve">Identifies characteristics of White Supremacy Culture in organizations (often used to describe academia).</w:t>
      </w:r>
    </w:p>
    <w:bookmarkEnd w:id="49"/>
    <w:bookmarkEnd w:id="50"/>
    <w:bookmarkStart w:id="51" w:name="apa-style-as-epistemology-or-worse"/>
    <w:p>
      <w:pPr>
        <w:pStyle w:val="Heading2"/>
      </w:pPr>
      <w:r>
        <w:rPr>
          <w:rStyle w:val="SectionNumber"/>
        </w:rPr>
        <w:t xml:space="preserve">1.2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1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14"/>
        </w:numPr>
        <w:pStyle w:val="Compact"/>
      </w:pPr>
      <w:r>
        <w:t xml:space="preserve">Review of past empirical studies</w:t>
      </w:r>
    </w:p>
    <w:p>
      <w:pPr>
        <w:numPr>
          <w:ilvl w:val="0"/>
          <w:numId w:val="1014"/>
        </w:numPr>
        <w:pStyle w:val="Compact"/>
      </w:pPr>
      <w:r>
        <w:t xml:space="preserve">Collection and analysis of new data</w:t>
      </w:r>
    </w:p>
    <w:p>
      <w:pPr>
        <w:numPr>
          <w:ilvl w:val="0"/>
          <w:numId w:val="1014"/>
        </w:numPr>
        <w:pStyle w:val="Compact"/>
      </w:pPr>
      <w:r>
        <w:t xml:space="preserve">Relation of conclusions to current psychological theories</w:t>
      </w:r>
    </w:p>
    <w:p>
      <w:pPr>
        <w:numPr>
          <w:ilvl w:val="0"/>
          <w:numId w:val="101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1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15"/>
        </w:numPr>
        <w:pStyle w:val="Compact"/>
      </w:pPr>
      <w:r>
        <w:t xml:space="preserve">A system of headings/subheadings (rather than narrative transitions)</w:t>
      </w:r>
    </w:p>
    <w:p>
      <w:pPr>
        <w:numPr>
          <w:ilvl w:val="0"/>
          <w:numId w:val="101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1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1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1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1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1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1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1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1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1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17"/>
        </w:numPr>
        <w:pStyle w:val="Compact"/>
      </w:pPr>
      <w:r>
        <w:t xml:space="preserve">Self-citations, expected citations (of the gurus), citations of colleagues exist IN TENSION with a citation economy (page limits, after all).</w:t>
      </w:r>
    </w:p>
    <w:p>
      <w:pPr>
        <w:numPr>
          <w:ilvl w:val="0"/>
          <w:numId w:val="101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1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1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1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1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2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2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51"/>
    <w:bookmarkStart w:id="52" w:name="as-we-dive-into-the-specifics"/>
    <w:p>
      <w:pPr>
        <w:pStyle w:val="Heading2"/>
      </w:pPr>
      <w:r>
        <w:rPr>
          <w:rStyle w:val="SectionNumber"/>
        </w:rPr>
        <w:t xml:space="preserve">1.3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22"/>
        </w:numPr>
        <w:pStyle w:val="Compact"/>
      </w:pPr>
      <w:r>
        <w:t xml:space="preserve">Perfectionism</w:t>
      </w:r>
    </w:p>
    <w:p>
      <w:pPr>
        <w:numPr>
          <w:ilvl w:val="1"/>
          <w:numId w:val="1023"/>
        </w:numPr>
        <w:pStyle w:val="Compact"/>
      </w:pPr>
      <w:r>
        <w:t xml:space="preserve">Perfectionistic culture</w:t>
      </w:r>
    </w:p>
    <w:p>
      <w:pPr>
        <w:numPr>
          <w:ilvl w:val="1"/>
          <w:numId w:val="1023"/>
        </w:numPr>
        <w:pStyle w:val="Compact"/>
      </w:pPr>
      <w:r>
        <w:t xml:space="preserve">Worship of the written word</w:t>
      </w:r>
    </w:p>
    <w:p>
      <w:pPr>
        <w:numPr>
          <w:ilvl w:val="1"/>
          <w:numId w:val="1023"/>
        </w:numPr>
        <w:pStyle w:val="Compact"/>
      </w:pPr>
      <w:r>
        <w:t xml:space="preserve">Only one right way</w:t>
      </w:r>
    </w:p>
    <w:p>
      <w:pPr>
        <w:numPr>
          <w:ilvl w:val="1"/>
          <w:numId w:val="1023"/>
        </w:numPr>
        <w:pStyle w:val="Compact"/>
      </w:pPr>
      <w:r>
        <w:t xml:space="preserve">Either/or thinking</w:t>
      </w:r>
    </w:p>
    <w:p>
      <w:pPr>
        <w:numPr>
          <w:ilvl w:val="0"/>
          <w:numId w:val="1022"/>
        </w:numPr>
        <w:pStyle w:val="Compact"/>
      </w:pPr>
      <w:r>
        <w:t xml:space="preserve">Concentration of power</w:t>
      </w:r>
    </w:p>
    <w:p>
      <w:pPr>
        <w:numPr>
          <w:ilvl w:val="1"/>
          <w:numId w:val="1024"/>
        </w:numPr>
        <w:pStyle w:val="Compact"/>
      </w:pPr>
      <w:r>
        <w:t xml:space="preserve">Power hoarding</w:t>
      </w:r>
    </w:p>
    <w:p>
      <w:pPr>
        <w:numPr>
          <w:ilvl w:val="0"/>
          <w:numId w:val="1022"/>
        </w:numPr>
        <w:pStyle w:val="Compact"/>
      </w:pPr>
      <w:r>
        <w:t xml:space="preserve">Paternalism</w:t>
      </w:r>
    </w:p>
    <w:p>
      <w:pPr>
        <w:numPr>
          <w:ilvl w:val="1"/>
          <w:numId w:val="1025"/>
        </w:numPr>
        <w:pStyle w:val="Compact"/>
      </w:pPr>
      <w:r>
        <w:t xml:space="preserve">Defensiveness</w:t>
      </w:r>
    </w:p>
    <w:p>
      <w:pPr>
        <w:numPr>
          <w:ilvl w:val="0"/>
          <w:numId w:val="1022"/>
        </w:numPr>
        <w:pStyle w:val="Compact"/>
      </w:pPr>
      <w:r>
        <w:t xml:space="preserve">Right to comfort</w:t>
      </w:r>
    </w:p>
    <w:p>
      <w:pPr>
        <w:numPr>
          <w:ilvl w:val="1"/>
          <w:numId w:val="1026"/>
        </w:numPr>
        <w:pStyle w:val="Compact"/>
      </w:pPr>
      <w:r>
        <w:t xml:space="preserve">Fear of open conflict</w:t>
      </w:r>
    </w:p>
    <w:p>
      <w:pPr>
        <w:numPr>
          <w:ilvl w:val="0"/>
          <w:numId w:val="1022"/>
        </w:numPr>
        <w:pStyle w:val="Compact"/>
      </w:pPr>
      <w:r>
        <w:t xml:space="preserve">Individualism</w:t>
      </w:r>
    </w:p>
    <w:p>
      <w:pPr>
        <w:numPr>
          <w:ilvl w:val="1"/>
          <w:numId w:val="1027"/>
        </w:numPr>
        <w:pStyle w:val="Compact"/>
      </w:pPr>
      <w:r>
        <w:t xml:space="preserve">I’m the only one</w:t>
      </w:r>
    </w:p>
    <w:p>
      <w:pPr>
        <w:numPr>
          <w:ilvl w:val="0"/>
          <w:numId w:val="1022"/>
        </w:numPr>
        <w:pStyle w:val="Compact"/>
      </w:pPr>
      <w:r>
        <w:t xml:space="preserve">Progress is more/bigger</w:t>
      </w:r>
    </w:p>
    <w:p>
      <w:pPr>
        <w:numPr>
          <w:ilvl w:val="1"/>
          <w:numId w:val="1028"/>
        </w:numPr>
        <w:pStyle w:val="Compact"/>
      </w:pPr>
      <w:r>
        <w:t xml:space="preserve">Objectivity</w:t>
      </w:r>
    </w:p>
    <w:p>
      <w:pPr>
        <w:numPr>
          <w:ilvl w:val="1"/>
          <w:numId w:val="1028"/>
        </w:numPr>
        <w:pStyle w:val="Compact"/>
      </w:pPr>
      <w:r>
        <w:t xml:space="preserve">Quantity over quality</w:t>
      </w:r>
    </w:p>
    <w:p>
      <w:pPr>
        <w:numPr>
          <w:ilvl w:val="1"/>
          <w:numId w:val="1028"/>
        </w:numPr>
        <w:pStyle w:val="Compact"/>
      </w:pPr>
      <w:r>
        <w:t xml:space="preserve">Sense of urgency</w:t>
      </w:r>
    </w:p>
    <w:bookmarkEnd w:id="52"/>
    <w:bookmarkStart w:id="91" w:name="the-jars-the-core-of-apa-style"/>
    <w:p>
      <w:pPr>
        <w:pStyle w:val="Heading2"/>
      </w:pPr>
      <w:r>
        <w:rPr>
          <w:rStyle w:val="SectionNumber"/>
        </w:rPr>
        <w:t xml:space="preserve">1.4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53">
        <w:r>
          <w:rPr>
            <w:rStyle w:val="Hyperlink"/>
          </w:rPr>
          <w:t xml:space="preserve">here</w:t>
        </w:r>
      </w:hyperlink>
      <w:r>
        <w:t xml:space="preserve">.</w:t>
      </w:r>
    </w:p>
    <w:bookmarkStart w:id="62" w:name="title-authorship-author-note-apa-2.3"/>
    <w:p>
      <w:pPr>
        <w:pStyle w:val="Heading3"/>
      </w:pPr>
      <w:r>
        <w:rPr>
          <w:rStyle w:val="SectionNumber"/>
        </w:rPr>
        <w:t xml:space="preserve">1.4.1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29"/>
        </w:numPr>
        <w:pStyle w:val="Compact"/>
      </w:pPr>
      <w:r>
        <w:t xml:space="preserve">Use abbreviations whenever possible</w:t>
      </w:r>
    </w:p>
    <w:p>
      <w:pPr>
        <w:numPr>
          <w:ilvl w:val="0"/>
          <w:numId w:val="1029"/>
        </w:numPr>
        <w:pStyle w:val="Compact"/>
      </w:pPr>
      <w:r>
        <w:t xml:space="preserve">Contain at least 30 words</w:t>
      </w:r>
    </w:p>
    <w:p>
      <w:pPr>
        <w:numPr>
          <w:ilvl w:val="0"/>
          <w:numId w:val="1029"/>
        </w:numPr>
        <w:pStyle w:val="Compact"/>
      </w:pPr>
      <w:r>
        <w:t xml:space="preserve">Be fully explanatory when standing alone</w:t>
      </w:r>
    </w:p>
    <w:p>
      <w:pPr>
        <w:numPr>
          <w:ilvl w:val="0"/>
          <w:numId w:val="1029"/>
        </w:numPr>
        <w:pStyle w:val="Compact"/>
      </w:pPr>
      <w:r>
        <w:t xml:space="preserve">Begin with the words, A Study of</w:t>
      </w:r>
    </w:p>
    <w:p>
      <w:pPr>
        <w:pStyle w:val="FirstParagraph"/>
      </w:pPr>
      <w:r>
        <w:t xml:space="preserve">The title page of a manuscript includes the</w:t>
      </w:r>
    </w:p>
    <w:p>
      <w:pPr>
        <w:numPr>
          <w:ilvl w:val="0"/>
          <w:numId w:val="1030"/>
        </w:numPr>
        <w:pStyle w:val="Compact"/>
      </w:pPr>
      <w:r>
        <w:t xml:space="preserve">Author’s name</w:t>
      </w:r>
    </w:p>
    <w:p>
      <w:pPr>
        <w:numPr>
          <w:ilvl w:val="0"/>
          <w:numId w:val="1030"/>
        </w:numPr>
        <w:pStyle w:val="Compact"/>
      </w:pPr>
      <w:r>
        <w:t xml:space="preserve">Author’s institutional affiliation’</w:t>
      </w:r>
    </w:p>
    <w:p>
      <w:pPr>
        <w:numPr>
          <w:ilvl w:val="0"/>
          <w:numId w:val="1030"/>
        </w:numPr>
        <w:pStyle w:val="Compact"/>
      </w:pPr>
      <w:r>
        <w:t xml:space="preserve">Running head</w:t>
      </w:r>
    </w:p>
    <w:p>
      <w:pPr>
        <w:numPr>
          <w:ilvl w:val="0"/>
          <w:numId w:val="1030"/>
        </w:numPr>
        <w:pStyle w:val="Compact"/>
      </w:pPr>
      <w:r>
        <w:t xml:space="preserve">Short title</w:t>
      </w:r>
    </w:p>
    <w:p>
      <w:pPr>
        <w:numPr>
          <w:ilvl w:val="0"/>
          <w:numId w:val="1030"/>
        </w:numPr>
        <w:pStyle w:val="Compact"/>
      </w:pPr>
      <w:r>
        <w:t xml:space="preserve">All of the above</w:t>
      </w:r>
    </w:p>
    <w:bookmarkStart w:id="54" w:name="title-apa-2.4"/>
    <w:p>
      <w:pPr>
        <w:pStyle w:val="Heading4"/>
      </w:pPr>
      <w:r>
        <w:rPr>
          <w:rStyle w:val="SectionNumber"/>
        </w:rPr>
        <w:t xml:space="preserve">1.4.1.1</w:t>
      </w:r>
      <w:r>
        <w:tab/>
      </w:r>
      <w:r>
        <w:t xml:space="preserve">Title (APA 2.4)</w:t>
      </w:r>
    </w:p>
    <w:p>
      <w:pPr>
        <w:numPr>
          <w:ilvl w:val="0"/>
          <w:numId w:val="1031"/>
        </w:numPr>
        <w:pStyle w:val="Compact"/>
      </w:pPr>
      <w:r>
        <w:t xml:space="preserve">Concise statement of main topic of the research,</w:t>
      </w:r>
    </w:p>
    <w:p>
      <w:pPr>
        <w:numPr>
          <w:ilvl w:val="0"/>
          <w:numId w:val="1031"/>
        </w:numPr>
        <w:pStyle w:val="Compact"/>
      </w:pPr>
      <w:r>
        <w:t xml:space="preserve">Identify the variables or theoretical issues under investigation (and the relationship between t Addhem),</w:t>
      </w:r>
    </w:p>
    <w:p>
      <w:pPr>
        <w:numPr>
          <w:ilvl w:val="0"/>
          <w:numId w:val="1031"/>
        </w:numPr>
        <w:pStyle w:val="Compact"/>
      </w:pPr>
      <w:r>
        <w:t xml:space="preserve">Focused and succinct (no prescribed word or character limit per the style manual; but a journal may have one).</w:t>
      </w:r>
    </w:p>
    <w:p>
      <w:pPr>
        <w:numPr>
          <w:ilvl w:val="0"/>
          <w:numId w:val="103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54"/>
    <w:bookmarkStart w:id="56" w:name="X96dd98088ac98dd56a75d30e0dcc1a9d78de15b"/>
    <w:p>
      <w:pPr>
        <w:pStyle w:val="Heading4"/>
      </w:pPr>
      <w:r>
        <w:rPr>
          <w:rStyle w:val="SectionNumber"/>
        </w:rPr>
        <w:t xml:space="preserve">1.4.1.2</w:t>
      </w:r>
      <w:r>
        <w:tab/>
      </w:r>
      <w:r>
        <w:t xml:space="preserve">Authorship/Byline (APA 2.5) &amp; Affiliation (APA 2.6)</w:t>
      </w:r>
    </w:p>
    <w:p>
      <w:pPr>
        <w:numPr>
          <w:ilvl w:val="0"/>
          <w:numId w:val="1032"/>
        </w:numPr>
        <w:pStyle w:val="Compact"/>
      </w:pPr>
      <w:r>
        <w:t xml:space="preserve">Primary contributors;</w:t>
      </w:r>
    </w:p>
    <w:p>
      <w:pPr>
        <w:numPr>
          <w:ilvl w:val="0"/>
          <w:numId w:val="1032"/>
        </w:numPr>
        <w:pStyle w:val="Compact"/>
      </w:pPr>
      <w:r>
        <w:t xml:space="preserve">Institutional affiliation AT THE TIME of the study, no more than 2 institutional affiliations (and they both need to have contributed equally)</w:t>
      </w:r>
    </w:p>
    <w:p>
      <w:pPr>
        <w:numPr>
          <w:ilvl w:val="0"/>
          <w:numId w:val="1032"/>
        </w:numPr>
        <w:pStyle w:val="Compact"/>
      </w:pPr>
      <w:r>
        <w:t xml:space="preserve">Very specific style guidelines (with superscript notations) for connecting authors and their affiliations</w:t>
      </w:r>
    </w:p>
    <w:p>
      <w:pPr>
        <w:numPr>
          <w:ilvl w:val="0"/>
          <w:numId w:val="103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33"/>
        </w:numPr>
        <w:pStyle w:val="Compact"/>
      </w:pPr>
      <w:r>
        <w:t xml:space="preserve">Faculty as first authors</w:t>
      </w:r>
    </w:p>
    <w:p>
      <w:pPr>
        <w:numPr>
          <w:ilvl w:val="0"/>
          <w:numId w:val="1033"/>
        </w:numPr>
        <w:pStyle w:val="Compact"/>
      </w:pPr>
      <w:r>
        <w:t xml:space="preserve">Ongoing projects with years of investment sponsored by faculty</w:t>
      </w:r>
    </w:p>
    <w:p>
      <w:pPr>
        <w:numPr>
          <w:ilvl w:val="0"/>
          <w:numId w:val="103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33"/>
        </w:numPr>
        <w:pStyle w:val="Compact"/>
      </w:pPr>
      <w:r>
        <w:t xml:space="preserve">Order between equal contributors (e.g., Singer &amp; Willett)</w:t>
      </w:r>
    </w:p>
    <w:p>
      <w:pPr>
        <w:numPr>
          <w:ilvl w:val="0"/>
          <w:numId w:val="1033"/>
        </w:numPr>
        <w:pStyle w:val="Compact"/>
      </w:pPr>
      <w:r>
        <w:t xml:space="preserve">In equal contributions it is okay (but not ideal) to mention in the author note</w:t>
      </w:r>
    </w:p>
    <w:p>
      <w:pPr>
        <w:numPr>
          <w:ilvl w:val="0"/>
          <w:numId w:val="1033"/>
        </w:numPr>
        <w:pStyle w:val="Compact"/>
      </w:pPr>
      <w:r>
        <w:t xml:space="preserve">GOAL: name on a project, less concerned about author order</w:t>
      </w:r>
    </w:p>
    <w:p>
      <w:pPr>
        <w:numPr>
          <w:ilvl w:val="0"/>
          <w:numId w:val="1033"/>
        </w:numPr>
        <w:pStyle w:val="Compact"/>
      </w:pPr>
      <w:r>
        <w:t xml:space="preserve">Generally, graduate projects include the faculty sponsor as an author</w:t>
      </w:r>
    </w:p>
    <w:p>
      <w:pPr>
        <w:numPr>
          <w:ilvl w:val="0"/>
          <w:numId w:val="1033"/>
        </w:numPr>
        <w:pStyle w:val="Compact"/>
      </w:pPr>
      <w:r>
        <w:t xml:space="preserve">Author-order</w:t>
      </w:r>
      <w:r>
        <w:t xml:space="preserve"> </w:t>
      </w:r>
      <w:hyperlink r:id="rId55">
        <w:r>
          <w:rPr>
            <w:rStyle w:val="Hyperlink"/>
          </w:rPr>
          <w:t xml:space="preserve">rubrics</w:t>
        </w:r>
      </w:hyperlink>
      <w:r>
        <w:t xml:space="preserve"> </w:t>
      </w:r>
      <w:r>
        <w:t xml:space="preserve">can be useful to guide the decision</w:t>
      </w:r>
    </w:p>
    <w:bookmarkEnd w:id="56"/>
    <w:bookmarkStart w:id="59" w:name="author-note-apa-2.7"/>
    <w:p>
      <w:pPr>
        <w:pStyle w:val="Heading4"/>
      </w:pPr>
      <w:r>
        <w:rPr>
          <w:rStyle w:val="SectionNumber"/>
        </w:rPr>
        <w:t xml:space="preserve">1.4.1.3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34"/>
        </w:numPr>
        <w:pStyle w:val="Compact"/>
      </w:pPr>
      <w:r>
        <w:t xml:space="preserve">ORCID iDs</w:t>
      </w:r>
      <w:r>
        <w:t xml:space="preserve"> </w:t>
      </w:r>
      <w:hyperlink r:id="rId57">
        <w:r>
          <w:rPr>
            <w:rStyle w:val="Hyperlink"/>
          </w:rPr>
          <w:t xml:space="preserve">https://orcid.org</w:t>
        </w:r>
      </w:hyperlink>
    </w:p>
    <w:p>
      <w:pPr>
        <w:numPr>
          <w:ilvl w:val="0"/>
          <w:numId w:val="103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34"/>
        </w:numPr>
        <w:pStyle w:val="Compact"/>
      </w:pPr>
      <w:r>
        <w:t xml:space="preserve">Disclosures and acknowledgements (i.e., study registration, open practices and data sharing, related reports, conflicts of interest, financial or other assistance).</w:t>
      </w:r>
    </w:p>
    <w:p>
      <w:pPr>
        <w:numPr>
          <w:ilvl w:val="0"/>
          <w:numId w:val="103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58">
        <w:r>
          <w:rPr>
            <w:rStyle w:val="Hyperlink"/>
          </w:rPr>
          <w:t xml:space="preserve">author@institution.edu</w:t>
        </w:r>
      </w:hyperlink>
    </w:p>
    <w:p>
      <w:pPr>
        <w:pStyle w:val="FirstParagraph"/>
      </w:pPr>
      <w:r>
        <w:rPr>
          <w:iCs/>
          <w:i/>
        </w:rPr>
        <w:t xml:space="preserve">The lecture further reviews JARS elements.</w:t>
      </w:r>
    </w:p>
    <w:bookmarkEnd w:id="59"/>
    <w:bookmarkStart w:id="60" w:name="running-head-apa-2.8"/>
    <w:p>
      <w:pPr>
        <w:pStyle w:val="Heading4"/>
      </w:pPr>
      <w:r>
        <w:rPr>
          <w:rStyle w:val="SectionNumber"/>
        </w:rPr>
        <w:t xml:space="preserve">1.4.1.4</w:t>
      </w:r>
      <w:r>
        <w:tab/>
      </w:r>
      <w:r>
        <w:t xml:space="preserve">Running Head (APA 2.8)</w:t>
      </w:r>
    </w:p>
    <w:p>
      <w:pPr>
        <w:numPr>
          <w:ilvl w:val="0"/>
          <w:numId w:val="1035"/>
        </w:numPr>
        <w:pStyle w:val="Compact"/>
      </w:pPr>
      <w:r>
        <w:t xml:space="preserve">Abbreviated title printed at the top of the pages of a ms or pubbed article to identify it for the readers</w:t>
      </w:r>
    </w:p>
    <w:p>
      <w:pPr>
        <w:numPr>
          <w:ilvl w:val="0"/>
          <w:numId w:val="103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35"/>
        </w:numPr>
        <w:pStyle w:val="Compact"/>
      </w:pPr>
      <w:r>
        <w:t xml:space="preserve">Appears flush left in all uppercase letters at the top of the title and subsequent pages</w:t>
      </w:r>
    </w:p>
    <w:bookmarkEnd w:id="60"/>
    <w:bookmarkStart w:id="61" w:name="Xd6ef4433604d0b3cbaa56a0fe9df9933094a2fe"/>
    <w:p>
      <w:pPr>
        <w:pStyle w:val="Heading4"/>
      </w:pPr>
      <w:r>
        <w:rPr>
          <w:rStyle w:val="SectionNumber"/>
        </w:rPr>
        <w:t xml:space="preserve">1.4.1.5</w:t>
      </w:r>
      <w:r>
        <w:tab/>
      </w:r>
      <w:r>
        <w:t xml:space="preserve">Manuscript Page Headers/Page Numbers (APA 8.03)</w:t>
      </w:r>
    </w:p>
    <w:p>
      <w:pPr>
        <w:numPr>
          <w:ilvl w:val="0"/>
          <w:numId w:val="1036"/>
        </w:numPr>
        <w:pStyle w:val="Compact"/>
      </w:pPr>
      <w:r>
        <w:t xml:space="preserve">Number consecutively, beginning with the title</w:t>
      </w:r>
    </w:p>
    <w:p>
      <w:pPr>
        <w:numPr>
          <w:ilvl w:val="0"/>
          <w:numId w:val="1036"/>
        </w:numPr>
        <w:pStyle w:val="Compact"/>
      </w:pPr>
      <w:r>
        <w:t xml:space="preserve">Identify each page with the running head along with the page number</w:t>
      </w:r>
    </w:p>
    <w:p>
      <w:pPr>
        <w:numPr>
          <w:ilvl w:val="0"/>
          <w:numId w:val="1036"/>
        </w:numPr>
        <w:pStyle w:val="Compact"/>
      </w:pPr>
      <w:r>
        <w:t xml:space="preserve">To facilitate a blinded review, do not include your name in the page header</w:t>
      </w:r>
    </w:p>
    <w:p>
      <w:pPr>
        <w:numPr>
          <w:ilvl w:val="0"/>
          <w:numId w:val="1036"/>
        </w:numPr>
        <w:pStyle w:val="Compact"/>
      </w:pPr>
      <w:r>
        <w:t xml:space="preserve">Use the automatic functions of the word-processer to generate page headers and page numbers</w:t>
      </w:r>
    </w:p>
    <w:bookmarkEnd w:id="61"/>
    <w:bookmarkEnd w:id="62"/>
    <w:bookmarkStart w:id="65" w:name="abstract-apa-2.8-3.3"/>
    <w:p>
      <w:pPr>
        <w:pStyle w:val="Heading3"/>
      </w:pPr>
      <w:r>
        <w:rPr>
          <w:rStyle w:val="SectionNumber"/>
        </w:rPr>
        <w:t xml:space="preserve">1.4.2</w:t>
      </w:r>
      <w:r>
        <w:tab/>
      </w:r>
      <w:r>
        <w:t xml:space="preserve">Abstract (APA 2.8, 3.3)</w:t>
      </w:r>
    </w:p>
    <w:p>
      <w:pPr>
        <w:pStyle w:val="FirstParagraph"/>
      </w:pPr>
      <w:r>
        <w:t xml:space="preserve">QUIZLET:</w:t>
      </w:r>
      <w:r>
        <w:t xml:space="preserve"> </w:t>
      </w:r>
      <w:r>
        <w:t xml:space="preserve">An abstract should</w:t>
      </w:r>
    </w:p>
    <w:p>
      <w:pPr>
        <w:numPr>
          <w:ilvl w:val="0"/>
          <w:numId w:val="1037"/>
        </w:numPr>
        <w:pStyle w:val="Compact"/>
      </w:pPr>
      <w:r>
        <w:t xml:space="preserve">Appear on the same page above the title and introduction</w:t>
      </w:r>
    </w:p>
    <w:p>
      <w:pPr>
        <w:numPr>
          <w:ilvl w:val="0"/>
          <w:numId w:val="1037"/>
        </w:numPr>
        <w:pStyle w:val="Compact"/>
      </w:pPr>
      <w:r>
        <w:t xml:space="preserve">Be single-spaced and set with larger margins</w:t>
      </w:r>
    </w:p>
    <w:p>
      <w:pPr>
        <w:numPr>
          <w:ilvl w:val="0"/>
          <w:numId w:val="1037"/>
        </w:numPr>
        <w:pStyle w:val="Compact"/>
      </w:pPr>
      <w:r>
        <w:t xml:space="preserve">Begin on page 2</w:t>
      </w:r>
    </w:p>
    <w:p>
      <w:pPr>
        <w:numPr>
          <w:ilvl w:val="0"/>
          <w:numId w:val="103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38"/>
        </w:numPr>
        <w:pStyle w:val="Compact"/>
      </w:pPr>
      <w:r>
        <w:t xml:space="preserve">Concise and specific</w:t>
      </w:r>
    </w:p>
    <w:p>
      <w:pPr>
        <w:numPr>
          <w:ilvl w:val="0"/>
          <w:numId w:val="1038"/>
        </w:numPr>
        <w:pStyle w:val="Compact"/>
      </w:pPr>
      <w:r>
        <w:t xml:space="preserve">Nonevaluative</w:t>
      </w:r>
    </w:p>
    <w:p>
      <w:pPr>
        <w:numPr>
          <w:ilvl w:val="0"/>
          <w:numId w:val="1038"/>
        </w:numPr>
        <w:pStyle w:val="Compact"/>
      </w:pPr>
      <w:r>
        <w:t xml:space="preserve">Coherent and readable</w:t>
      </w:r>
    </w:p>
    <w:p>
      <w:pPr>
        <w:numPr>
          <w:ilvl w:val="0"/>
          <w:numId w:val="1038"/>
        </w:numPr>
        <w:pStyle w:val="Compact"/>
      </w:pPr>
      <w:r>
        <w:t xml:space="preserve">Loaded with keywords</w:t>
      </w:r>
    </w:p>
    <w:p>
      <w:pPr>
        <w:numPr>
          <w:ilvl w:val="0"/>
          <w:numId w:val="1038"/>
        </w:numPr>
        <w:pStyle w:val="Compact"/>
      </w:pPr>
      <w:r>
        <w:t xml:space="preserve">May be a single paragraph (no indentation of first line) or structured (still no indentation, but labels inserted for the prescribed sections).</w:t>
      </w:r>
    </w:p>
    <w:bookmarkStart w:id="63" w:name="recipe-for-an-abstract"/>
    <w:p>
      <w:pPr>
        <w:pStyle w:val="Heading4"/>
      </w:pPr>
      <w:r>
        <w:rPr>
          <w:rStyle w:val="SectionNumber"/>
        </w:rPr>
        <w:t xml:space="preserve">1.4.2.1</w:t>
      </w:r>
      <w:r>
        <w:tab/>
      </w:r>
      <w:r>
        <w:t xml:space="preserve">Recipe for an Abstract</w:t>
      </w:r>
    </w:p>
    <w:p>
      <w:pPr>
        <w:numPr>
          <w:ilvl w:val="0"/>
          <w:numId w:val="1039"/>
        </w:numPr>
        <w:pStyle w:val="Compact"/>
      </w:pPr>
      <w:r>
        <w:t xml:space="preserve">Identify the problem under investigation (1 sentence)</w:t>
      </w:r>
    </w:p>
    <w:p>
      <w:pPr>
        <w:numPr>
          <w:ilvl w:val="0"/>
          <w:numId w:val="1039"/>
        </w:numPr>
        <w:pStyle w:val="Compact"/>
      </w:pPr>
      <w:r>
        <w:t xml:space="preserve">Identify the participants and salient characteristics</w:t>
      </w:r>
    </w:p>
    <w:p>
      <w:pPr>
        <w:numPr>
          <w:ilvl w:val="0"/>
          <w:numId w:val="1039"/>
        </w:numPr>
        <w:pStyle w:val="Compact"/>
      </w:pPr>
      <w:r>
        <w:t xml:space="preserve">Identify the experimental method, including the apparatus, data gathering procedures, complete test names, etc.</w:t>
      </w:r>
    </w:p>
    <w:p>
      <w:pPr>
        <w:numPr>
          <w:ilvl w:val="0"/>
          <w:numId w:val="1039"/>
        </w:numPr>
        <w:pStyle w:val="Compact"/>
      </w:pPr>
      <w:r>
        <w:t xml:space="preserve">Identify findings (including statistical significance levels)</w:t>
      </w:r>
    </w:p>
    <w:p>
      <w:pPr>
        <w:numPr>
          <w:ilvl w:val="0"/>
          <w:numId w:val="1039"/>
        </w:numPr>
        <w:pStyle w:val="Compact"/>
      </w:pPr>
      <w:r>
        <w:t xml:space="preserve">Identify conclusions and implications/applications.</w:t>
      </w:r>
    </w:p>
    <w:p>
      <w:pPr>
        <w:numPr>
          <w:ilvl w:val="0"/>
          <w:numId w:val="103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3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63"/>
    <w:bookmarkStart w:id="64" w:name="keywords"/>
    <w:p>
      <w:pPr>
        <w:pStyle w:val="Heading4"/>
      </w:pPr>
      <w:r>
        <w:rPr>
          <w:rStyle w:val="SectionNumber"/>
        </w:rPr>
        <w:t xml:space="preserve">1.4.2.2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64"/>
    <w:bookmarkEnd w:id="65"/>
    <w:bookmarkStart w:id="81" w:name="introduction-apa-2.11"/>
    <w:p>
      <w:pPr>
        <w:pStyle w:val="Heading3"/>
      </w:pPr>
      <w:r>
        <w:rPr>
          <w:rStyle w:val="SectionNumber"/>
        </w:rPr>
        <w:t xml:space="preserve">1.4.3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40"/>
        </w:numPr>
        <w:pStyle w:val="Compact"/>
      </w:pPr>
      <w:r>
        <w:t xml:space="preserve">Include a thorough historical review of the literature</w:t>
      </w:r>
    </w:p>
    <w:p>
      <w:pPr>
        <w:numPr>
          <w:ilvl w:val="0"/>
          <w:numId w:val="1040"/>
        </w:numPr>
        <w:pStyle w:val="Compact"/>
      </w:pPr>
      <w:r>
        <w:t xml:space="preserve">Define all of the terms that would be unintelligible to a reader with no previous exposure to the field</w:t>
      </w:r>
    </w:p>
    <w:p>
      <w:pPr>
        <w:numPr>
          <w:ilvl w:val="0"/>
          <w:numId w:val="1040"/>
        </w:numPr>
        <w:pStyle w:val="Compact"/>
      </w:pPr>
      <w:r>
        <w:t xml:space="preserve">Present the specific problem to be explored and described in the research strategy</w:t>
      </w:r>
    </w:p>
    <w:p>
      <w:pPr>
        <w:numPr>
          <w:ilvl w:val="0"/>
          <w:numId w:val="104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41"/>
        </w:numPr>
        <w:pStyle w:val="Compact"/>
      </w:pPr>
      <w:r>
        <w:t xml:space="preserve">Why is this problem important?</w:t>
      </w:r>
    </w:p>
    <w:p>
      <w:pPr>
        <w:numPr>
          <w:ilvl w:val="0"/>
          <w:numId w:val="1041"/>
        </w:numPr>
        <w:pStyle w:val="Compact"/>
      </w:pPr>
      <w:r>
        <w:t xml:space="preserve">How does this study link to previous work?</w:t>
      </w:r>
    </w:p>
    <w:p>
      <w:pPr>
        <w:numPr>
          <w:ilvl w:val="0"/>
          <w:numId w:val="1041"/>
        </w:numPr>
        <w:pStyle w:val="Compact"/>
      </w:pPr>
      <w:r>
        <w:t xml:space="preserve">What are the primary/secondary hypotheses/objectives? What are their links to theory?</w:t>
      </w:r>
    </w:p>
    <w:p>
      <w:pPr>
        <w:numPr>
          <w:ilvl w:val="0"/>
          <w:numId w:val="1041"/>
        </w:numPr>
        <w:pStyle w:val="Compact"/>
      </w:pPr>
      <w:r>
        <w:t xml:space="preserve">How do the hypotheses and research design relate to each other?</w:t>
      </w:r>
    </w:p>
    <w:p>
      <w:pPr>
        <w:numPr>
          <w:ilvl w:val="0"/>
          <w:numId w:val="1041"/>
        </w:numPr>
        <w:pStyle w:val="Compact"/>
      </w:pPr>
      <w:r>
        <w:t xml:space="preserve">What are the theoretical and practical implications?</w:t>
      </w:r>
    </w:p>
    <w:p>
      <w:pPr>
        <w:pStyle w:val="FirstParagraph"/>
      </w:pPr>
      <w:r>
        <w:t xml:space="preserve">Three parts to the Introduction</w:t>
      </w:r>
    </w:p>
    <w:p>
      <w:pPr>
        <w:numPr>
          <w:ilvl w:val="0"/>
          <w:numId w:val="1042"/>
        </w:numPr>
        <w:pStyle w:val="Compact"/>
      </w:pPr>
      <w:r>
        <w:t xml:space="preserve">Brief introduction, 1-2 paragraphs</w:t>
      </w:r>
    </w:p>
    <w:p>
      <w:pPr>
        <w:numPr>
          <w:ilvl w:val="0"/>
          <w:numId w:val="1042"/>
        </w:numPr>
        <w:pStyle w:val="Compact"/>
      </w:pPr>
      <w:r>
        <w:t xml:space="preserve">Review of relevant scholarship, 1-2 pages</w:t>
      </w:r>
    </w:p>
    <w:p>
      <w:pPr>
        <w:numPr>
          <w:ilvl w:val="0"/>
          <w:numId w:val="1042"/>
        </w:numPr>
        <w:pStyle w:val="Compact"/>
      </w:pPr>
      <w:r>
        <w:t xml:space="preserve">Purpose, rational, hypotheses, 1-2 paragraph’s at the section’s close.</w:t>
      </w:r>
    </w:p>
    <w:bookmarkStart w:id="66" w:name="the-brief-introduction"/>
    <w:p>
      <w:pPr>
        <w:pStyle w:val="Heading4"/>
      </w:pPr>
      <w:r>
        <w:rPr>
          <w:rStyle w:val="SectionNumber"/>
        </w:rPr>
        <w:t xml:space="preserve">1.4.3.1</w:t>
      </w:r>
      <w:r>
        <w:tab/>
      </w:r>
      <w:r>
        <w:t xml:space="preserve">The Brief Introduction</w:t>
      </w:r>
    </w:p>
    <w:p>
      <w:pPr>
        <w:pStyle w:val="FirstParagraph"/>
      </w:pPr>
      <w:r>
        <w:t xml:space="preserve">A good introduction paragraph answers the following questions in 1-2 paragraphs</w:t>
      </w:r>
    </w:p>
    <w:p>
      <w:pPr>
        <w:numPr>
          <w:ilvl w:val="0"/>
          <w:numId w:val="1043"/>
        </w:numPr>
        <w:pStyle w:val="Compact"/>
      </w:pPr>
      <w:r>
        <w:t xml:space="preserve">What is the point of the study?</w:t>
      </w:r>
    </w:p>
    <w:p>
      <w:pPr>
        <w:numPr>
          <w:ilvl w:val="0"/>
          <w:numId w:val="1043"/>
        </w:numPr>
        <w:pStyle w:val="Compact"/>
      </w:pPr>
      <w:r>
        <w:t xml:space="preserve">How do the hypothesis and experimental design relate to the problem?</w:t>
      </w:r>
    </w:p>
    <w:p>
      <w:pPr>
        <w:numPr>
          <w:ilvl w:val="0"/>
          <w:numId w:val="1043"/>
        </w:numPr>
        <w:pStyle w:val="Compact"/>
      </w:pPr>
      <w:r>
        <w:t xml:space="preserve">What are the theoretical implications of the study and how does the study relate to previous work in the area?</w:t>
      </w:r>
    </w:p>
    <w:p>
      <w:pPr>
        <w:numPr>
          <w:ilvl w:val="0"/>
          <w:numId w:val="1043"/>
        </w:numPr>
        <w:pStyle w:val="Compact"/>
      </w:pPr>
      <w:r>
        <w:t xml:space="preserve">What are the theoretical propositions tested and how were they derived?</w:t>
      </w:r>
    </w:p>
    <w:p>
      <w:pPr>
        <w:pStyle w:val="FirstParagraph"/>
      </w:pPr>
      <w:r>
        <w:t xml:space="preserve">In the middle…above ALL</w:t>
      </w:r>
    </w:p>
    <w:p>
      <w:pPr>
        <w:numPr>
          <w:ilvl w:val="0"/>
          <w:numId w:val="1044"/>
        </w:numPr>
        <w:pStyle w:val="Compact"/>
      </w:pPr>
      <w:r>
        <w:t xml:space="preserve">Demonstrate that the problem is IMPORTANT</w:t>
      </w:r>
    </w:p>
    <w:p>
      <w:pPr>
        <w:numPr>
          <w:ilvl w:val="0"/>
          <w:numId w:val="1044"/>
        </w:numPr>
        <w:pStyle w:val="Compact"/>
      </w:pPr>
      <w:r>
        <w:t xml:space="preserve">Narrative thread.</w:t>
      </w:r>
    </w:p>
    <w:p>
      <w:pPr>
        <w:numPr>
          <w:ilvl w:val="0"/>
          <w:numId w:val="1044"/>
        </w:numPr>
        <w:pStyle w:val="Compact"/>
      </w:pPr>
      <w:r>
        <w:t xml:space="preserve">Always refer to the THEORETICAL BACKGROUND</w:t>
      </w:r>
    </w:p>
    <w:p>
      <w:pPr>
        <w:numPr>
          <w:ilvl w:val="0"/>
          <w:numId w:val="1044"/>
        </w:numPr>
        <w:pStyle w:val="Compact"/>
      </w:pPr>
      <w:r>
        <w:t xml:space="preserve">Narrative thread.</w:t>
      </w:r>
    </w:p>
    <w:p>
      <w:pPr>
        <w:numPr>
          <w:ilvl w:val="0"/>
          <w:numId w:val="1044"/>
        </w:numPr>
        <w:pStyle w:val="Compact"/>
      </w:pPr>
      <w:r>
        <w:t xml:space="preserve">Closing paragraph a statement of purpose and rationale of project.</w:t>
      </w:r>
    </w:p>
    <w:p>
      <w:pPr>
        <w:numPr>
          <w:ilvl w:val="0"/>
          <w:numId w:val="1044"/>
        </w:numPr>
        <w:pStyle w:val="Compact"/>
      </w:pPr>
      <w:r>
        <w:t xml:space="preserve">Narrative thread.</w:t>
      </w:r>
    </w:p>
    <w:p>
      <w:pPr>
        <w:pStyle w:val="FirstParagraph"/>
      </w:pPr>
      <w:r>
        <w:t xml:space="preserve">The closing paragraph(s) of the Introduction</w:t>
      </w:r>
    </w:p>
    <w:p>
      <w:pPr>
        <w:numPr>
          <w:ilvl w:val="0"/>
          <w:numId w:val="1045"/>
        </w:numPr>
        <w:pStyle w:val="Compact"/>
      </w:pPr>
      <w:r>
        <w:t xml:space="preserve">What variables did I plan to manipulate?</w:t>
      </w:r>
    </w:p>
    <w:p>
      <w:pPr>
        <w:numPr>
          <w:ilvl w:val="0"/>
          <w:numId w:val="1045"/>
        </w:numPr>
        <w:pStyle w:val="Compact"/>
      </w:pPr>
      <w:r>
        <w:t xml:space="preserve">What results did I expect and why did I expect them? (the logic of this should also be made clear)</w:t>
      </w:r>
    </w:p>
    <w:p>
      <w:pPr>
        <w:numPr>
          <w:ilvl w:val="0"/>
          <w:numId w:val="1045"/>
        </w:numPr>
        <w:pStyle w:val="Compact"/>
      </w:pPr>
      <w:r>
        <w:t xml:space="preserve">What is my rationale for each hypothesis?</w:t>
      </w:r>
    </w:p>
    <w:p>
      <w:pPr>
        <w:pStyle w:val="FirstParagraph"/>
      </w:pPr>
      <w:r>
        <w:rPr>
          <w:iCs/>
          <w:i/>
        </w:rPr>
        <w:t xml:space="preserve">The lecture further reviews JARS elements.</w:t>
      </w:r>
    </w:p>
    <w:bookmarkEnd w:id="66"/>
    <w:bookmarkStart w:id="79" w:name="Xa7d3fbd529a1b5533328773609dbccf8c52862c"/>
    <w:p>
      <w:pPr>
        <w:pStyle w:val="Heading4"/>
      </w:pPr>
      <w:r>
        <w:rPr>
          <w:rStyle w:val="SectionNumber"/>
        </w:rPr>
        <w:t xml:space="preserve">1.4.3.2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68" name="Picture"/>
            <a:graphic>
              <a:graphicData uri="http://schemas.openxmlformats.org/drawingml/2006/picture">
                <pic:pic>
                  <pic:nvPicPr>
                    <pic:cNvPr descr="images/APAstyle/Stage1.jpg" id="69" name="Picture"/>
                    <pic:cNvPicPr>
                      <a:picLocks noChangeArrowheads="1" noChangeAspect="1"/>
                    </pic:cNvPicPr>
                  </pic:nvPicPr>
                  <pic:blipFill>
                    <a:blip r:embed="rId67"/>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71" name="Picture"/>
            <a:graphic>
              <a:graphicData uri="http://schemas.openxmlformats.org/drawingml/2006/picture">
                <pic:pic>
                  <pic:nvPicPr>
                    <pic:cNvPr descr="images/APAstyle/Stage2.jpg" id="72" name="Picture"/>
                    <pic:cNvPicPr>
                      <a:picLocks noChangeArrowheads="1" noChangeAspect="1"/>
                    </pic:cNvPicPr>
                  </pic:nvPicPr>
                  <pic:blipFill>
                    <a:blip r:embed="rId70"/>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74" name="Picture"/>
            <a:graphic>
              <a:graphicData uri="http://schemas.openxmlformats.org/drawingml/2006/picture">
                <pic:pic>
                  <pic:nvPicPr>
                    <pic:cNvPr descr="images/APAstyle/Stage3.jpg" id="75" name="Picture"/>
                    <pic:cNvPicPr>
                      <a:picLocks noChangeArrowheads="1" noChangeAspect="1"/>
                    </pic:cNvPicPr>
                  </pic:nvPicPr>
                  <pic:blipFill>
                    <a:blip r:embed="rId73"/>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77" name="Picture"/>
            <a:graphic>
              <a:graphicData uri="http://schemas.openxmlformats.org/drawingml/2006/picture">
                <pic:pic>
                  <pic:nvPicPr>
                    <pic:cNvPr descr="images/APAstyle/Stage4.jpg" id="78" name="Picture"/>
                    <pic:cNvPicPr>
                      <a:picLocks noChangeArrowheads="1" noChangeAspect="1"/>
                    </pic:cNvPicPr>
                  </pic:nvPicPr>
                  <pic:blipFill>
                    <a:blip r:embed="rId76"/>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79"/>
    <w:bookmarkStart w:id="80" w:name="X3ca5bd50d730f6e936663e0b587ad16d5647b6f"/>
    <w:p>
      <w:pPr>
        <w:pStyle w:val="Heading4"/>
      </w:pPr>
      <w:r>
        <w:rPr>
          <w:rStyle w:val="SectionNumber"/>
        </w:rPr>
        <w:t xml:space="preserve">1.4.3.3</w:t>
      </w:r>
      <w:r>
        <w:tab/>
      </w:r>
      <w:r>
        <w:t xml:space="preserve">Perennial Notes from Research-Project Faculty Graders</w:t>
      </w:r>
    </w:p>
    <w:p>
      <w:pPr>
        <w:numPr>
          <w:ilvl w:val="0"/>
          <w:numId w:val="1046"/>
        </w:numPr>
        <w:pStyle w:val="Compact"/>
      </w:pPr>
      <w:r>
        <w:t xml:space="preserve">Start with your problem statement</w:t>
      </w:r>
      <w:r>
        <w:t xml:space="preserve"> </w:t>
      </w:r>
      <w:r>
        <w:t xml:space="preserve">– What is your DV and why does the reader care?</w:t>
      </w:r>
    </w:p>
    <w:p>
      <w:pPr>
        <w:numPr>
          <w:ilvl w:val="0"/>
          <w:numId w:val="104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4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80"/>
    <w:bookmarkEnd w:id="81"/>
    <w:bookmarkStart w:id="83" w:name="method-apa-2.06-chapter-3"/>
    <w:p>
      <w:pPr>
        <w:pStyle w:val="Heading3"/>
      </w:pPr>
      <w:r>
        <w:rPr>
          <w:rStyle w:val="SectionNumber"/>
        </w:rPr>
        <w:t xml:space="preserve">1.4.4</w:t>
      </w:r>
      <w:r>
        <w:tab/>
      </w:r>
      <w:r>
        <w:t xml:space="preserve">Method (APA 2.06; Chapter 3)</w:t>
      </w:r>
    </w:p>
    <w:p>
      <w:pPr>
        <w:numPr>
          <w:ilvl w:val="0"/>
          <w:numId w:val="1047"/>
        </w:numPr>
        <w:pStyle w:val="Compact"/>
      </w:pPr>
      <w:r>
        <w:t xml:space="preserve">Describes in detail how the study was conducted.</w:t>
      </w:r>
    </w:p>
    <w:p>
      <w:pPr>
        <w:numPr>
          <w:ilvl w:val="0"/>
          <w:numId w:val="1047"/>
        </w:numPr>
        <w:pStyle w:val="Compact"/>
      </w:pPr>
      <w:r>
        <w:t xml:space="preserve">Includes conceptual and operational definitions of variables.</w:t>
      </w:r>
    </w:p>
    <w:p>
      <w:pPr>
        <w:numPr>
          <w:ilvl w:val="0"/>
          <w:numId w:val="104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82">
        <w:r>
          <w:rPr>
            <w:rStyle w:val="Hyperlink"/>
          </w:rPr>
          <w:t xml:space="preserve">website</w:t>
        </w:r>
      </w:hyperlink>
      <w:r>
        <w:t xml:space="preserve">.</w:t>
      </w:r>
    </w:p>
    <w:bookmarkEnd w:id="83"/>
    <w:bookmarkStart w:id="84" w:name="results-discussion-chapter-3"/>
    <w:p>
      <w:pPr>
        <w:pStyle w:val="Heading3"/>
      </w:pPr>
      <w:r>
        <w:rPr>
          <w:rStyle w:val="SectionNumber"/>
        </w:rPr>
        <w:t xml:space="preserve">1.4.5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84"/>
    <w:bookmarkStart w:id="86" w:name="headings-apa-2.7"/>
    <w:p>
      <w:pPr>
        <w:pStyle w:val="Heading3"/>
      </w:pPr>
      <w:r>
        <w:rPr>
          <w:rStyle w:val="SectionNumber"/>
        </w:rPr>
        <w:t xml:space="preserve">1.4.6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85">
        <w:r>
          <w:rPr>
            <w:rStyle w:val="Hyperlink"/>
          </w:rPr>
          <w:t xml:space="preserve">here</w:t>
        </w:r>
      </w:hyperlink>
      <w:r>
        <w:t xml:space="preserve">.</w:t>
      </w:r>
    </w:p>
    <w:p>
      <w:pPr>
        <w:pStyle w:val="BodyText"/>
      </w:pPr>
      <w:r>
        <w:t xml:space="preserve">Headings follow a top-down progression.</w:t>
      </w:r>
    </w:p>
    <w:p>
      <w:pPr>
        <w:numPr>
          <w:ilvl w:val="0"/>
          <w:numId w:val="1048"/>
        </w:numPr>
        <w:pStyle w:val="Compact"/>
      </w:pPr>
      <w:r>
        <w:t xml:space="preserve">Each section (i.e., Title [on first page], Method, Results, Discussion) starts with an L2 heading.</w:t>
      </w:r>
    </w:p>
    <w:p>
      <w:pPr>
        <w:numPr>
          <w:ilvl w:val="0"/>
          <w:numId w:val="104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86"/>
    <w:bookmarkStart w:id="87" w:name="reference-list"/>
    <w:p>
      <w:pPr>
        <w:pStyle w:val="Heading3"/>
      </w:pPr>
      <w:r>
        <w:rPr>
          <w:rStyle w:val="SectionNumber"/>
        </w:rPr>
        <w:t xml:space="preserve">1.4.7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87"/>
    <w:bookmarkStart w:id="88" w:name="Xfe732119f7327dd5010958468312f004069fffd"/>
    <w:p>
      <w:pPr>
        <w:pStyle w:val="Heading3"/>
      </w:pPr>
      <w:r>
        <w:rPr>
          <w:rStyle w:val="SectionNumber"/>
        </w:rPr>
        <w:t xml:space="preserve">1.4.8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4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49"/>
        </w:numPr>
        <w:pStyle w:val="Compact"/>
      </w:pPr>
      <w:r>
        <w:t xml:space="preserve">Active headings/subheadings contribute to continuity and flow.</w:t>
      </w:r>
    </w:p>
    <w:p>
      <w:pPr>
        <w:numPr>
          <w:ilvl w:val="0"/>
          <w:numId w:val="104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49"/>
        </w:numPr>
        <w:pStyle w:val="Compact"/>
      </w:pPr>
      <w:r>
        <w:t xml:space="preserve">Clarity is improved with a varied sentence length; long sentences can be confusing.</w:t>
      </w:r>
    </w:p>
    <w:p>
      <w:pPr>
        <w:numPr>
          <w:ilvl w:val="0"/>
          <w:numId w:val="104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88"/>
    <w:bookmarkStart w:id="89" w:name="reducing-bias-apa-chapter-5"/>
    <w:p>
      <w:pPr>
        <w:pStyle w:val="Heading3"/>
      </w:pPr>
      <w:r>
        <w:rPr>
          <w:rStyle w:val="SectionNumber"/>
        </w:rPr>
        <w:t xml:space="preserve">1.4.9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50"/>
        </w:numPr>
        <w:pStyle w:val="Compact"/>
      </w:pPr>
      <w:r>
        <w:t xml:space="preserve">Describe relevant characteristics; it is likely unnecessary to collect and/or report on all personal characteristics for the topic being explored.</w:t>
      </w:r>
    </w:p>
    <w:p>
      <w:pPr>
        <w:numPr>
          <w:ilvl w:val="0"/>
          <w:numId w:val="1050"/>
        </w:numPr>
        <w:pStyle w:val="Compact"/>
      </w:pPr>
      <w:r>
        <w:t xml:space="preserve">Do not shy away/hide/gloss over actual differences in the target population from the general population. Describe them clearly and professionally.</w:t>
      </w:r>
    </w:p>
    <w:p>
      <w:pPr>
        <w:numPr>
          <w:ilvl w:val="0"/>
          <w:numId w:val="105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5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89"/>
    <w:bookmarkStart w:id="90" w:name="closing-thoughts"/>
    <w:p>
      <w:pPr>
        <w:pStyle w:val="Heading3"/>
      </w:pPr>
      <w:r>
        <w:rPr>
          <w:rStyle w:val="SectionNumber"/>
        </w:rPr>
        <w:t xml:space="preserve">1.4.10</w:t>
      </w:r>
      <w:r>
        <w:tab/>
      </w:r>
      <w:r>
        <w:t xml:space="preserve">Closing Thoughts</w:t>
      </w:r>
    </w:p>
    <w:p>
      <w:pPr>
        <w:numPr>
          <w:ilvl w:val="0"/>
          <w:numId w:val="1051"/>
        </w:numPr>
        <w:pStyle w:val="Compact"/>
      </w:pPr>
      <w:r>
        <w:t xml:space="preserve">Fluency in APA style is a long journey. One of my own strategies in an APA Cheat Sheet (presently 38 pages long).</w:t>
      </w:r>
    </w:p>
    <w:p>
      <w:pPr>
        <w:numPr>
          <w:ilvl w:val="0"/>
          <w:numId w:val="1052"/>
        </w:numPr>
        <w:pStyle w:val="Compact"/>
      </w:pPr>
      <w:r>
        <w:t xml:space="preserve">I wrote it to help with reviewing/editing/grading (and also for my own writing), so I can search on words/phrases that I am likely to say.</w:t>
      </w:r>
    </w:p>
    <w:p>
      <w:pPr>
        <w:numPr>
          <w:ilvl w:val="0"/>
          <w:numId w:val="1052"/>
        </w:numPr>
        <w:pStyle w:val="Compact"/>
      </w:pPr>
      <w:r>
        <w:t xml:space="preserve">I can add/update it.</w:t>
      </w:r>
    </w:p>
    <w:p>
      <w:pPr>
        <w:numPr>
          <w:ilvl w:val="0"/>
          <w:numId w:val="1052"/>
        </w:numPr>
        <w:pStyle w:val="Compact"/>
      </w:pPr>
      <w:r>
        <w:t xml:space="preserve">Each element in my cheatsheet has the section number (for papers I review as well as my own self-doubt when I wonder, later).</w:t>
      </w:r>
    </w:p>
    <w:p>
      <w:pPr>
        <w:numPr>
          <w:ilvl w:val="0"/>
          <w:numId w:val="105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54"/>
        </w:numPr>
        <w:pStyle w:val="Compact"/>
      </w:pPr>
      <w:r>
        <w:t xml:space="preserve">Perfectionism</w:t>
      </w:r>
    </w:p>
    <w:p>
      <w:pPr>
        <w:numPr>
          <w:ilvl w:val="1"/>
          <w:numId w:val="1055"/>
        </w:numPr>
        <w:pStyle w:val="Compact"/>
      </w:pPr>
      <w:r>
        <w:rPr>
          <w:iCs/>
          <w:i/>
        </w:rPr>
        <w:t xml:space="preserve">Perfectionistic culture</w:t>
      </w:r>
    </w:p>
    <w:p>
      <w:pPr>
        <w:numPr>
          <w:ilvl w:val="1"/>
          <w:numId w:val="1055"/>
        </w:numPr>
        <w:pStyle w:val="Compact"/>
      </w:pPr>
      <w:r>
        <w:rPr>
          <w:iCs/>
          <w:i/>
        </w:rPr>
        <w:t xml:space="preserve">Worship of the written word</w:t>
      </w:r>
    </w:p>
    <w:p>
      <w:pPr>
        <w:numPr>
          <w:ilvl w:val="1"/>
          <w:numId w:val="1055"/>
        </w:numPr>
        <w:pStyle w:val="Compact"/>
      </w:pPr>
      <w:r>
        <w:rPr>
          <w:iCs/>
          <w:i/>
        </w:rPr>
        <w:t xml:space="preserve">Only one right way</w:t>
      </w:r>
    </w:p>
    <w:p>
      <w:pPr>
        <w:numPr>
          <w:ilvl w:val="1"/>
          <w:numId w:val="1055"/>
        </w:numPr>
        <w:pStyle w:val="Compact"/>
      </w:pPr>
      <w:r>
        <w:t xml:space="preserve">Either/or thinking</w:t>
      </w:r>
    </w:p>
    <w:p>
      <w:pPr>
        <w:numPr>
          <w:ilvl w:val="0"/>
          <w:numId w:val="1054"/>
        </w:numPr>
        <w:pStyle w:val="Compact"/>
      </w:pPr>
      <w:r>
        <w:t xml:space="preserve">Concentration of power</w:t>
      </w:r>
    </w:p>
    <w:p>
      <w:pPr>
        <w:numPr>
          <w:ilvl w:val="1"/>
          <w:numId w:val="1056"/>
        </w:numPr>
        <w:pStyle w:val="Compact"/>
      </w:pPr>
      <w:r>
        <w:rPr>
          <w:iCs/>
          <w:i/>
        </w:rPr>
        <w:t xml:space="preserve">Power hoarding</w:t>
      </w:r>
    </w:p>
    <w:p>
      <w:pPr>
        <w:numPr>
          <w:ilvl w:val="0"/>
          <w:numId w:val="1054"/>
        </w:numPr>
        <w:pStyle w:val="Compact"/>
      </w:pPr>
      <w:r>
        <w:t xml:space="preserve">Paternalism</w:t>
      </w:r>
    </w:p>
    <w:p>
      <w:pPr>
        <w:numPr>
          <w:ilvl w:val="1"/>
          <w:numId w:val="1057"/>
        </w:numPr>
        <w:pStyle w:val="Compact"/>
      </w:pPr>
      <w:r>
        <w:t xml:space="preserve">Defensiveness</w:t>
      </w:r>
    </w:p>
    <w:p>
      <w:pPr>
        <w:numPr>
          <w:ilvl w:val="0"/>
          <w:numId w:val="1054"/>
        </w:numPr>
        <w:pStyle w:val="Compact"/>
      </w:pPr>
      <w:r>
        <w:t xml:space="preserve">Right to comfort</w:t>
      </w:r>
    </w:p>
    <w:p>
      <w:pPr>
        <w:numPr>
          <w:ilvl w:val="1"/>
          <w:numId w:val="1058"/>
        </w:numPr>
        <w:pStyle w:val="Compact"/>
      </w:pPr>
      <w:r>
        <w:rPr>
          <w:iCs/>
          <w:i/>
        </w:rPr>
        <w:t xml:space="preserve">Fear of open conflict</w:t>
      </w:r>
    </w:p>
    <w:p>
      <w:pPr>
        <w:numPr>
          <w:ilvl w:val="0"/>
          <w:numId w:val="1054"/>
        </w:numPr>
        <w:pStyle w:val="Compact"/>
      </w:pPr>
      <w:r>
        <w:t xml:space="preserve">Individualism</w:t>
      </w:r>
    </w:p>
    <w:p>
      <w:pPr>
        <w:numPr>
          <w:ilvl w:val="1"/>
          <w:numId w:val="1059"/>
        </w:numPr>
        <w:pStyle w:val="Compact"/>
      </w:pPr>
      <w:r>
        <w:t xml:space="preserve">I’m the only one</w:t>
      </w:r>
    </w:p>
    <w:p>
      <w:pPr>
        <w:numPr>
          <w:ilvl w:val="0"/>
          <w:numId w:val="1054"/>
        </w:numPr>
        <w:pStyle w:val="Compact"/>
      </w:pPr>
      <w:r>
        <w:t xml:space="preserve">Progress is more/bigger</w:t>
      </w:r>
    </w:p>
    <w:p>
      <w:pPr>
        <w:numPr>
          <w:ilvl w:val="1"/>
          <w:numId w:val="1060"/>
        </w:numPr>
        <w:pStyle w:val="Compact"/>
      </w:pPr>
      <w:r>
        <w:rPr>
          <w:iCs/>
          <w:i/>
        </w:rPr>
        <w:t xml:space="preserve">Objectivity</w:t>
      </w:r>
    </w:p>
    <w:p>
      <w:pPr>
        <w:numPr>
          <w:ilvl w:val="1"/>
          <w:numId w:val="1060"/>
        </w:numPr>
        <w:pStyle w:val="Compact"/>
      </w:pPr>
      <w:r>
        <w:t xml:space="preserve">Quantity over quality</w:t>
      </w:r>
    </w:p>
    <w:p>
      <w:pPr>
        <w:numPr>
          <w:ilvl w:val="1"/>
          <w:numId w:val="1060"/>
        </w:numPr>
        <w:pStyle w:val="Compact"/>
      </w:pPr>
      <w:r>
        <w:t xml:space="preserve">Sense of urgency</w:t>
      </w:r>
    </w:p>
    <w:bookmarkEnd w:id="90"/>
    <w:bookmarkEnd w:id="91"/>
    <w:bookmarkEnd w:id="92"/>
    <w:bookmarkStart w:id="203"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p>
    <w:p>
      <w:pPr>
        <w:pStyle w:val="BodyText"/>
      </w:pPr>
    </w:p>
    <w:p>
      <w:pPr>
        <w:pStyle w:val="BodyText"/>
      </w:pPr>
      <w:r>
        <w:t xml:space="preserve">In 2015, the Open Science Collaboration demonstrated that psychological science suffers from a problem of replicability. This has turned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93"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61"/>
        </w:numPr>
        <w:pStyle w:val="Compact"/>
      </w:pPr>
      <w:r>
        <w:t xml:space="preserve">Distinguish reproducibility from replicability.</w:t>
      </w:r>
    </w:p>
    <w:p>
      <w:pPr>
        <w:numPr>
          <w:ilvl w:val="0"/>
          <w:numId w:val="1061"/>
        </w:numPr>
        <w:pStyle w:val="Compact"/>
      </w:pPr>
      <w:r>
        <w:t xml:space="preserve">Identify mechanisms for increasing transparency in the research process.</w:t>
      </w:r>
    </w:p>
    <w:p>
      <w:pPr>
        <w:numPr>
          <w:ilvl w:val="0"/>
          <w:numId w:val="1061"/>
        </w:numPr>
        <w:pStyle w:val="Compact"/>
      </w:pPr>
      <w:r>
        <w:t xml:space="preserve">Describe potential benefits of preregistering research studies.</w:t>
      </w:r>
    </w:p>
    <w:p>
      <w:pPr>
        <w:numPr>
          <w:ilvl w:val="0"/>
          <w:numId w:val="1061"/>
        </w:numPr>
        <w:pStyle w:val="Compact"/>
      </w:pPr>
      <w:r>
        <w:t xml:space="preserve">List elements of data sharing that would improve reproducibility.</w:t>
      </w:r>
    </w:p>
    <w:p>
      <w:pPr>
        <w:numPr>
          <w:ilvl w:val="0"/>
          <w:numId w:val="1061"/>
        </w:numPr>
        <w:pStyle w:val="Compact"/>
      </w:pPr>
      <w:r>
        <w:t xml:space="preserve">Obtain an ORCID iD</w:t>
      </w:r>
    </w:p>
    <w:bookmarkEnd w:id="93"/>
    <w:bookmarkStart w:id="96" w:name="recommended-readings"/>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62"/>
        </w:numPr>
        <w:pStyle w:val="Compact"/>
      </w:pPr>
      <w:r>
        <w:t xml:space="preserve">Open Science Collaboration. (2015). Estimating the reproducibility of psychological science. Science, 349(6251), 943–943.</w:t>
      </w:r>
      <w:r>
        <w:t xml:space="preserve"> </w:t>
      </w:r>
      <w:hyperlink r:id="rId94">
        <w:r>
          <w:rPr>
            <w:rStyle w:val="Hyperlink"/>
          </w:rPr>
          <w:t xml:space="preserve">https://doi.org/10.1126/science.aac4716</w:t>
        </w:r>
      </w:hyperlink>
    </w:p>
    <w:p>
      <w:pPr>
        <w:numPr>
          <w:ilvl w:val="1"/>
          <w:numId w:val="1063"/>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62"/>
        </w:numPr>
        <w:pStyle w:val="Compact"/>
      </w:pPr>
      <w:r>
        <w:t xml:space="preserve">Bosnjak, M., Fiebach, C. J., Mellor, D., Mueller, S., O’Connor, D. B., Oswald, F. L., &amp; Sokol, R. I. (2021). A template for preregistration of quantitative research in psychology: Report of the joint psychological societies preregistration task force. American Psychologist.</w:t>
      </w:r>
      <w:r>
        <w:t xml:space="preserve"> </w:t>
      </w:r>
      <w:hyperlink r:id="rId95">
        <w:r>
          <w:rPr>
            <w:rStyle w:val="Hyperlink"/>
          </w:rPr>
          <w:t xml:space="preserve">https://doi.org/10.1037/amp0000879</w:t>
        </w:r>
      </w:hyperlink>
    </w:p>
    <w:p>
      <w:pPr>
        <w:numPr>
          <w:ilvl w:val="1"/>
          <w:numId w:val="1064"/>
        </w:numPr>
        <w:pStyle w:val="Compact"/>
      </w:pPr>
      <w:r>
        <w:t xml:space="preserve">This document creates a detailed argument for why preregistrations are necessary and it provides instructions for completing a preregistration for quantitative research.</w:t>
      </w:r>
    </w:p>
    <w:bookmarkEnd w:id="96"/>
    <w:bookmarkStart w:id="97"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(common owership of information),</w:t>
      </w:r>
      <w:r>
        <w:t xml:space="preserve"> </w:t>
      </w:r>
      <w:r>
        <w:rPr>
          <w:iCs/>
          <w:i/>
        </w:rPr>
        <w:t xml:space="preserve">universalism</w:t>
      </w:r>
      <w:r>
        <w:t xml:space="preserve"> </w:t>
      </w:r>
      <w:r>
        <w:t xml:space="preserve">(universal standards for claims of knowledge),</w:t>
      </w:r>
      <w:r>
        <w:t xml:space="preserve"> </w:t>
      </w:r>
      <w:r>
        <w:rPr>
          <w:iCs/>
          <w:i/>
        </w:rPr>
        <w:t xml:space="preserve">disinterestedness</w:t>
      </w:r>
      <w:r>
        <w:t xml:space="preserve"> </w:t>
      </w:r>
      <w:r>
        <w:t xml:space="preserve">(integrity in gathering and interpreting data), and</w:t>
      </w:r>
      <w:r>
        <w:t xml:space="preserve"> </w:t>
      </w:r>
      <w:r>
        <w:rPr>
          <w:iCs/>
          <w:i/>
        </w:rPr>
        <w:t xml:space="preserve">organized skepticism</w:t>
      </w:r>
      <w:r>
        <w:t xml:space="preserve"> </w:t>
      </w:r>
      <w:r>
        <w:t xml:space="preserve">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it has numerous conceptual models.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re-use (foreseen and unforeseen)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Considering these foundational inputs, we will approach open science with a simultaneous consideration of its principles and practices and consider both in the three broad areas of (a) transparency of the research process; (b) access to research findings; and (c) tools for open science.</w:t>
      </w:r>
    </w:p>
    <w:bookmarkEnd w:id="97"/>
    <w:bookmarkStart w:id="102"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w:t>
      </w:r>
      <w:hyperlink w:anchor="Xd2e8a3c1fb16bddd8f45886217851c6f32810d7">
        <w:r>
          <w:rPr>
            <w:rStyle w:val="Hyperlink"/>
          </w:rPr>
          <w:t xml:space="preserve">Open Science Collaboration, 2015</w:t>
        </w:r>
      </w:hyperlink>
      <w:r>
        <w:t xml:space="preserve">)</w:t>
      </w:r>
      <w:r>
        <w:t xml:space="preserve"> </w:t>
      </w:r>
      <w:r>
        <w:t xml:space="preserve">made it clear that psychological research suffers from significant failures to replicate prior research. The collaborative selected 100 studies (97% of which had significant results) from three journals. Research teams committed to high-powered, high-fidelity replications. Results were compared to the original studies with five metrics that assessed various dimensions of the anlyses. Only 36% of the replications had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There could be Type I or Type II error. Or there could be confirmational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_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99"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commone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appeard in 2012 in the journals Cortex and Perspectives on Psychological Science. In 2013, Social Psychology 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twice. During the first stage, authors submit a detailed research proposal (specifying research questions, hypotheses, methods, planned analyses). Proposals that successfully pass through the review and revision(s) phase receive an in principal acceptance,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 a priorily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 p-hacking,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_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 ’t Veer &amp; Giner-Sorolla</w:t>
      </w:r>
      <w:r>
        <w:t xml:space="preserve"> </w:t>
      </w:r>
      <w:r>
        <w:t xml:space="preserve">(</w:t>
      </w:r>
      <w:hyperlink w:anchor="ref-van_t_veer_pre-registration_2016">
        <w:r>
          <w:rPr>
            <w:rStyle w:val="Hyperlink"/>
          </w:rPr>
          <w:t xml:space="preserve">Veer &amp; Giner-Sorolla, 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are designed to streamline the process.</w:t>
      </w:r>
    </w:p>
    <w:p>
      <w:pPr>
        <w:pStyle w:val="BodyText"/>
      </w:pPr>
      <w:r>
        <w:t xml:space="preserve">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w:t>
      </w:r>
      <w:r>
        <w:t xml:space="preserve">for quantitative empirical research in psychology.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w:t>
      </w:r>
      <w:r>
        <w:t xml:space="preserve">(Bosnjak et al., 2021). For qualitative researchers, a Delphi study provides a 13-item, pregistration template that is freely available at the</w:t>
      </w:r>
      <w:r>
        <w:t xml:space="preserve"> </w:t>
      </w:r>
      <w:hyperlink r:id="rId98">
        <w:r>
          <w:rPr>
            <w:rStyle w:val="Hyperlink"/>
          </w:rPr>
          <w:t xml:space="preserve">Open Science Framework</w:t>
        </w:r>
      </w:hyperlink>
      <w:r>
        <w:t xml:space="preserve">. Both templates align with the JARS (journal article reporting standards, APA 7th edition).</w:t>
      </w:r>
    </w:p>
    <w:bookmarkEnd w:id="99"/>
    <w:bookmarkStart w:id="100" w:name="data-sharing"/>
    <w:p>
      <w:pPr>
        <w:pStyle w:val="Heading3"/>
      </w:pPr>
      <w:r>
        <w:rPr>
          <w:rStyle w:val="SectionNumber"/>
        </w:rPr>
        <w:t xml:space="preserve">2.4.2</w:t>
      </w:r>
      <w:r>
        <w:tab/>
      </w:r>
      <w:r>
        <w:t xml:space="preserve">Data sharing</w:t>
      </w:r>
    </w:p>
    <w:p>
      <w:pPr>
        <w:pStyle w:val="FirstParagraph"/>
      </w:pPr>
      <w:r>
        <w:t xml:space="preserve">Data sharing [(]including raw data, measures, codebooks,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promponents of open data encourage the researcher to license the data such that there are no restrictions on reuse or redistribution. Exceptions could be made to protect the identity of the human participants or special limitation/restrictions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 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efforts underway that would recognize the contributions of those who share data and analytic code. In our own discipline, the Association for Psychological Science has adopted the use of Open Science Foundation badges in the it journal, Psychological Science.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participats. In the U.S. it has been standard practice to (a) inform participants of the restricted purpose for which their data will be used, and (b) assure participants that all the information they provide during the research study will (to the extent permitted by the law) be kept confidential and will only be viewed by members of the research team. When non-anonymous data are collected, the informed consent may also indicate that data will be de-identified. These usual practices are counter to the notion that data be shared to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 that the consent extends beyond the present study as well as knowing that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Even with updated and IRB-approved informed consent forms, data sharing can be problematic.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comes in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100"/>
    <w:bookmarkStart w:id="101"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w:t>
      </w:r>
      <w:r>
        <w:t xml:space="preserve"> </w:t>
      </w: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101"/>
    <w:bookmarkEnd w:id="102"/>
    <w:bookmarkStart w:id="104"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an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of open access article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With no subscription fees, fees for individual articles, nor requirement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While the rapid turnaround for open access articles may be viewed as a positive to open access journals, that is not always the case. Sometimes, legitimate open-access publishers feel forced into this accelerated submission-to-publication timeline in order to compete, and they may in turn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Unfortunately, not all open access journals are well intentioned or legitimate. Predatory publishers cleverly spam researchers with calls-for-papers and fail to mention required authors fees that frequently range from 1200 USD to 1800 USD. An author who learns of the APC after signing the contract (which generally includes surrendering the copyright) has lost the right to withdraw and is faced with paying the fee and losing the possibility to publish elsewhere, and therefore essentially losing their work.</w:t>
      </w:r>
    </w:p>
    <w:p>
      <w:pPr>
        <w:pStyle w:val="BodyText"/>
      </w:pPr>
      <w:r>
        <w:t xml:space="preserve">Another common concern of open access research is that while these journals and articles are free to readers, this doesn’t mean that readers are always able to locate these.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hyperlink r:id="rId103">
        <w:r>
          <w:rPr>
            <w:rStyle w:val="Hyperlink"/>
          </w:rPr>
          <w:t xml:space="preserve">APA PSYCH Info</w:t>
        </w:r>
      </w:hyperlink>
      <w:r>
        <w:t xml:space="preserve">] an example of a commonly used database in psychology.</w:t>
      </w:r>
    </w:p>
    <w:p>
      <w:pPr>
        <w:pStyle w:val="BodyText"/>
      </w:pPr>
      <w:r>
        <w:t xml:space="preserve">A well indexed article is more likely to be discovered and read regardless of whether or not the reader is familiar with the journal itself. Unfortunately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 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w:t>
      </w:r>
    </w:p>
    <w:bookmarkEnd w:id="104"/>
    <w:bookmarkStart w:id="121"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109"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105">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though the CRAN. Packages available on the CRAN must adhere to its repository policy and are vetted prior to posting. Further, those engaged in psychological science and scouring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106">
        <w:r>
          <w:rPr>
            <w:rStyle w:val="Hyperlink"/>
          </w:rPr>
          <w:t xml:space="preserve">Journal of Statistical Software</w:t>
        </w:r>
      </w:hyperlink>
      <w:r>
        <w:t xml:space="preserve"> </w:t>
      </w:r>
      <w:r>
        <w:t xml:space="preserve">provide in-depth coverage of many of R packages.</w:t>
      </w:r>
    </w:p>
    <w:p>
      <w:pPr>
        <w:pStyle w:val="BodyText"/>
      </w:pPr>
      <w:r>
        <w:t xml:space="preserve">Because writing R script can be daunting, GUI (graphical user interface, point-and-click) alternatives are emerging that are open-sourced and, perhaps, easier to use. The R package, shiny,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107">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 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jamovi’s organizational status. The jamovi website seeks financial contributions and volunteers for advocacy, content, and modeuls.</w:t>
      </w:r>
    </w:p>
    <w:p>
      <w:pPr>
        <w:pStyle w:val="BodyText"/>
      </w:pPr>
      <w:hyperlink r:id="rId108">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109"/>
    <w:bookmarkStart w:id="112" w:name="reference-management-software"/>
    <w:p>
      <w:pPr>
        <w:pStyle w:val="Heading3"/>
      </w:pPr>
      <w:r>
        <w:rPr>
          <w:rStyle w:val="SectionNumber"/>
        </w:rPr>
        <w:t xml:space="preserve">2.6.2</w:t>
      </w:r>
      <w:r>
        <w:tab/>
      </w:r>
      <w:r>
        <w:t xml:space="preserve">Reference management software</w:t>
      </w:r>
    </w:p>
    <w:p>
      <w:pPr>
        <w:pStyle w:val="FirstParagraph"/>
      </w:pPr>
      <w:hyperlink r:id="rId110">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111">
        <w:r>
          <w:rPr>
            <w:rStyle w:val="Hyperlink"/>
          </w:rPr>
          <w:t xml:space="preserve">Mendeley</w:t>
        </w:r>
      </w:hyperlink>
      <w:r>
        <w:t xml:space="preserve">. In 2007, Mendeley was founded in the U.K. by three, German, doctoral students;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112"/>
    <w:bookmarkStart w:id="114"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The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113">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114"/>
    <w:bookmarkStart w:id="115"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respositories are more disciplinary-specific.</w:t>
      </w:r>
    </w:p>
    <w:bookmarkEnd w:id="115"/>
    <w:bookmarkStart w:id="118"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a copy of the project. Additionally, so long as the secondary user credits the author/developer, they can use, revise, remix, and further distribute its contents. Initially a start-up business, Microsoft purchased GitHub in 2018</w:t>
      </w:r>
      <w:r>
        <w:t xml:space="preserve"> </w:t>
      </w:r>
      <w:hyperlink r:id="rId116">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for fees there are more advanced tools. Our OER is produced and hosted on GitHub and GitHub pages for zero cost.</w:t>
      </w:r>
    </w:p>
    <w:p>
      <w:pPr>
        <w:pStyle w:val="BodyText"/>
      </w:pPr>
      <w:r>
        <w:t xml:space="preserve">The</w:t>
      </w:r>
      <w:r>
        <w:t xml:space="preserve"> </w:t>
      </w:r>
      <w:hyperlink r:id="rId117">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18"/>
    <w:bookmarkStart w:id="119"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19"/>
    <w:bookmarkStart w:id="120"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a few minutes to become familiar with open tools before committing to use them.</w:t>
      </w:r>
    </w:p>
    <w:bookmarkEnd w:id="120"/>
    <w:bookmarkEnd w:id="121"/>
    <w:bookmarkStart w:id="122"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22"/>
    <w:bookmarkStart w:id="123"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65"/>
        </w:numPr>
        <w:pStyle w:val="Compact"/>
      </w:pPr>
      <w:r>
        <w:t xml:space="preserve">Obtain an ORCID iD for yourself</w:t>
      </w:r>
    </w:p>
    <w:p>
      <w:pPr>
        <w:numPr>
          <w:ilvl w:val="0"/>
          <w:numId w:val="1065"/>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65"/>
        </w:numPr>
        <w:pStyle w:val="Compact"/>
      </w:pPr>
      <w:r>
        <w:t xml:space="preserve">Download one of the preregistration templates (either quantitative or qualitative) and preregister a study of your own.</w:t>
      </w:r>
    </w:p>
    <w:bookmarkEnd w:id="123"/>
    <w:bookmarkStart w:id="202" w:name="references"/>
    <w:p>
      <w:pPr>
        <w:pStyle w:val="Heading2"/>
      </w:pPr>
      <w:r>
        <w:rPr>
          <w:rStyle w:val="SectionNumber"/>
        </w:rPr>
        <w:t xml:space="preserve">2.9</w:t>
      </w:r>
      <w:r>
        <w:tab/>
      </w:r>
      <w:r>
        <w:t xml:space="preserve">References</w:t>
      </w:r>
    </w:p>
    <w:bookmarkStart w:id="201" w:name="refs"/>
    <w:bookmarkStart w:id="125"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24">
        <w:r>
          <w:rPr>
            <w:rStyle w:val="Hyperlink"/>
          </w:rPr>
          <w:t xml:space="preserve">https://doi.org/10.1037/amp0000258</w:t>
        </w:r>
      </w:hyperlink>
    </w:p>
    <w:bookmarkEnd w:id="125"/>
    <w:bookmarkStart w:id="127"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26">
        <w:r>
          <w:rPr>
            <w:rStyle w:val="Hyperlink"/>
          </w:rPr>
          <w:t xml:space="preserve">https://www.apa.org/ethics/code</w:t>
        </w:r>
      </w:hyperlink>
    </w:p>
    <w:bookmarkEnd w:id="127"/>
    <w:bookmarkStart w:id="128"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46">
        <w:r>
          <w:rPr>
            <w:rStyle w:val="Hyperlink"/>
          </w:rPr>
          <w:t xml:space="preserve">https://doi.org/10.1037/amp0000191</w:t>
        </w:r>
      </w:hyperlink>
    </w:p>
    <w:bookmarkEnd w:id="128"/>
    <w:bookmarkStart w:id="130"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29">
        <w:r>
          <w:rPr>
            <w:rStyle w:val="Hyperlink"/>
          </w:rPr>
          <w:t xml:space="preserve">https://doi.org/10.1038/489179a</w:t>
        </w:r>
      </w:hyperlink>
    </w:p>
    <w:bookmarkEnd w:id="130"/>
    <w:bookmarkStart w:id="132"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31">
        <w:r>
          <w:rPr>
            <w:rStyle w:val="Hyperlink"/>
          </w:rPr>
          <w:t xml:space="preserve">https://doi.org/10.5281/ZENODO.1212496</w:t>
        </w:r>
      </w:hyperlink>
    </w:p>
    <w:bookmarkEnd w:id="132"/>
    <w:bookmarkStart w:id="133"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95">
        <w:r>
          <w:rPr>
            <w:rStyle w:val="Hyperlink"/>
          </w:rPr>
          <w:t xml:space="preserve">https://doi.org/10.1037/amp0000879</w:t>
        </w:r>
      </w:hyperlink>
    </w:p>
    <w:bookmarkEnd w:id="133"/>
    <w:bookmarkStart w:id="135"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34">
        <w:r>
          <w:rPr>
            <w:rStyle w:val="Hyperlink"/>
          </w:rPr>
          <w:t xml:space="preserve">https://doi.org/10.1037/0003-066X.38.4.414</w:t>
        </w:r>
      </w:hyperlink>
    </w:p>
    <w:bookmarkEnd w:id="135"/>
    <w:bookmarkStart w:id="137"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36">
        <w:r>
          <w:rPr>
            <w:rStyle w:val="Hyperlink"/>
          </w:rPr>
          <w:t xml:space="preserve">https://doi.org/10.1038/s41562-021-01193-7</w:t>
        </w:r>
      </w:hyperlink>
    </w:p>
    <w:bookmarkEnd w:id="137"/>
    <w:bookmarkStart w:id="139"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38">
        <w:r>
          <w:rPr>
            <w:rStyle w:val="Hyperlink"/>
          </w:rPr>
          <w:t xml:space="preserve">http://www.jstor.org/stable/689511</w:t>
        </w:r>
      </w:hyperlink>
    </w:p>
    <w:bookmarkEnd w:id="139"/>
    <w:bookmarkStart w:id="140"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110">
        <w:r>
          <w:rPr>
            <w:rStyle w:val="Hyperlink"/>
          </w:rPr>
          <w:t xml:space="preserve">https://www.zotero.org/</w:t>
        </w:r>
      </w:hyperlink>
    </w:p>
    <w:bookmarkEnd w:id="140"/>
    <w:bookmarkStart w:id="142"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41">
        <w:r>
          <w:rPr>
            <w:rStyle w:val="Hyperlink"/>
          </w:rPr>
          <w:t xml:space="preserve">https://doi.org/10.1371/journal.pone.0137864</w:t>
        </w:r>
      </w:hyperlink>
    </w:p>
    <w:bookmarkEnd w:id="142"/>
    <w:bookmarkStart w:id="143"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43"/>
    <w:bookmarkStart w:id="145"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44">
        <w:r>
          <w:rPr>
            <w:rStyle w:val="Hyperlink"/>
          </w:rPr>
          <w:t xml:space="preserve">https://www.psycharchives.org/en/item/088c79cb-237c-4545-a9e2-3616d6cc8453</w:t>
        </w:r>
      </w:hyperlink>
    </w:p>
    <w:bookmarkEnd w:id="145"/>
    <w:bookmarkStart w:id="147"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46">
        <w:r>
          <w:rPr>
            <w:rStyle w:val="Hyperlink"/>
          </w:rPr>
          <w:t xml:space="preserve">https://doi.org/10.5811/westjem.2016.6.30836</w:t>
        </w:r>
      </w:hyperlink>
    </w:p>
    <w:bookmarkEnd w:id="147"/>
    <w:bookmarkStart w:id="149"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48">
        <w:r>
          <w:rPr>
            <w:rStyle w:val="Hyperlink"/>
          </w:rPr>
          <w:t xml:space="preserve">https://en.wikipedia.org/w/index.php?title=GitHub&amp;oldid=1097996266</w:t>
        </w:r>
      </w:hyperlink>
    </w:p>
    <w:bookmarkEnd w:id="149"/>
    <w:bookmarkStart w:id="151" w:name="ref-noauthor_github_2022"/>
    <w:p>
      <w:pPr>
        <w:pStyle w:val="Bibliography"/>
      </w:pPr>
      <w:r>
        <w:rPr>
          <w:iCs/>
          <w:i/>
        </w:rPr>
        <w:t xml:space="preserve">GitHub</w:t>
      </w:r>
      <w:r>
        <w:t xml:space="preserve">. (2022b).</w:t>
      </w:r>
      <w:r>
        <w:t xml:space="preserve"> </w:t>
      </w:r>
      <w:hyperlink r:id="rId150">
        <w:r>
          <w:rPr>
            <w:rStyle w:val="Hyperlink"/>
          </w:rPr>
          <w:t xml:space="preserve">https://github.com</w:t>
        </w:r>
      </w:hyperlink>
    </w:p>
    <w:bookmarkEnd w:id="151"/>
    <w:bookmarkStart w:id="153"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52">
        <w:r>
          <w:rPr>
            <w:rStyle w:val="Hyperlink"/>
          </w:rPr>
          <w:t xml:space="preserve">https://doi.org/10.1080/21642850.2021.2012474</w:t>
        </w:r>
      </w:hyperlink>
    </w:p>
    <w:bookmarkEnd w:id="153"/>
    <w:bookmarkStart w:id="155"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54">
        <w:r>
          <w:rPr>
            <w:rStyle w:val="Hyperlink"/>
          </w:rPr>
          <w:t xml:space="preserve">https://doi.org/10.31235/osf.io/pz9jr</w:t>
        </w:r>
      </w:hyperlink>
    </w:p>
    <w:bookmarkEnd w:id="155"/>
    <w:bookmarkStart w:id="157"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56">
        <w:r>
          <w:rPr>
            <w:rStyle w:val="Hyperlink"/>
          </w:rPr>
          <w:t xml:space="preserve">https://doi.org/10.3389/fpsyg.2018.00256</w:t>
        </w:r>
      </w:hyperlink>
    </w:p>
    <w:bookmarkEnd w:id="157"/>
    <w:bookmarkStart w:id="158"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58"/>
    <w:bookmarkStart w:id="159"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44">
        <w:r>
          <w:rPr>
            <w:rStyle w:val="Hyperlink"/>
          </w:rPr>
          <w:t xml:space="preserve">https://doi.org/10.1037/0003-066X.50.6.428</w:t>
        </w:r>
      </w:hyperlink>
    </w:p>
    <w:bookmarkEnd w:id="159"/>
    <w:bookmarkStart w:id="161"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60">
        <w:r>
          <w:rPr>
            <w:rStyle w:val="Hyperlink"/>
          </w:rPr>
          <w:t xml:space="preserve">https://doi.org/10.1037/amp0000242</w:t>
        </w:r>
      </w:hyperlink>
    </w:p>
    <w:bookmarkEnd w:id="161"/>
    <w:bookmarkStart w:id="163" w:name="ref-noauthor_mendeley_2022"/>
    <w:p>
      <w:pPr>
        <w:pStyle w:val="Bibliography"/>
      </w:pPr>
      <w:r>
        <w:t xml:space="preserve">Mendeley. (2022). In</w:t>
      </w:r>
      <w:r>
        <w:t xml:space="preserve"> </w:t>
      </w:r>
      <w:r>
        <w:rPr>
          <w:iCs/>
          <w:i/>
        </w:rPr>
        <w:t xml:space="preserve">Wikipedia</w:t>
      </w:r>
      <w:r>
        <w:t xml:space="preserve">.</w:t>
      </w:r>
      <w:r>
        <w:t xml:space="preserve"> </w:t>
      </w:r>
      <w:hyperlink r:id="rId162">
        <w:r>
          <w:rPr>
            <w:rStyle w:val="Hyperlink"/>
          </w:rPr>
          <w:t xml:space="preserve">https://en.wikipedia.org/w/index.php?title=Mendeley&amp;oldid=1095492319</w:t>
        </w:r>
      </w:hyperlink>
    </w:p>
    <w:bookmarkEnd w:id="163"/>
    <w:bookmarkStart w:id="164"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164"/>
    <w:bookmarkStart w:id="166"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165">
        <w:r>
          <w:rPr>
            <w:rStyle w:val="Hyperlink"/>
          </w:rPr>
          <w:t xml:space="preserve">https://doi.org/10.1037/a0040195</w:t>
        </w:r>
      </w:hyperlink>
    </w:p>
    <w:bookmarkEnd w:id="166"/>
    <w:bookmarkStart w:id="168" w:name="ref-noauthor_open_2022"/>
    <w:p>
      <w:pPr>
        <w:pStyle w:val="Bibliography"/>
      </w:pPr>
      <w:r>
        <w:t xml:space="preserve">Open science. (2022). In</w:t>
      </w:r>
      <w:r>
        <w:t xml:space="preserve"> </w:t>
      </w:r>
      <w:r>
        <w:rPr>
          <w:iCs/>
          <w:i/>
        </w:rPr>
        <w:t xml:space="preserve">Wikipedia</w:t>
      </w:r>
      <w:r>
        <w:t xml:space="preserve">.</w:t>
      </w:r>
      <w:r>
        <w:t xml:space="preserve"> </w:t>
      </w:r>
      <w:hyperlink r:id="rId167">
        <w:r>
          <w:rPr>
            <w:rStyle w:val="Hyperlink"/>
          </w:rPr>
          <w:t xml:space="preserve">https://en.wikipedia.org/w/index.php?title=Open_science&amp;oldid=1087027147</w:t>
        </w:r>
      </w:hyperlink>
    </w:p>
    <w:bookmarkEnd w:id="168"/>
    <w:bookmarkStart w:id="169"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94">
        <w:r>
          <w:rPr>
            <w:rStyle w:val="Hyperlink"/>
          </w:rPr>
          <w:t xml:space="preserve">https://doi.org/10.1126/science.aac4716</w:t>
        </w:r>
      </w:hyperlink>
    </w:p>
    <w:bookmarkEnd w:id="169"/>
    <w:bookmarkStart w:id="171"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170">
        <w:r>
          <w:rPr>
            <w:rStyle w:val="Hyperlink"/>
          </w:rPr>
          <w:t xml:space="preserve">https://osf.io/</w:t>
        </w:r>
      </w:hyperlink>
    </w:p>
    <w:bookmarkEnd w:id="171"/>
    <w:bookmarkStart w:id="173"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172">
        <w:r>
          <w:rPr>
            <w:rStyle w:val="Hyperlink"/>
          </w:rPr>
          <w:t xml:space="preserve">https://doi.org/10.1101/066803</w:t>
        </w:r>
      </w:hyperlink>
    </w:p>
    <w:bookmarkEnd w:id="173"/>
    <w:bookmarkStart w:id="175"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174">
        <w:r>
          <w:rPr>
            <w:rStyle w:val="Hyperlink"/>
          </w:rPr>
          <w:t xml:space="preserve">https://www.jamovi.org</w:t>
        </w:r>
      </w:hyperlink>
    </w:p>
    <w:bookmarkEnd w:id="175"/>
    <w:bookmarkStart w:id="177" w:name="ref-noauthor_r_2022"/>
    <w:p>
      <w:pPr>
        <w:pStyle w:val="Bibliography"/>
      </w:pPr>
      <w:r>
        <w:t xml:space="preserve">R (programming language). (2022). In</w:t>
      </w:r>
      <w:r>
        <w:t xml:space="preserve"> </w:t>
      </w:r>
      <w:r>
        <w:rPr>
          <w:iCs/>
          <w:i/>
        </w:rPr>
        <w:t xml:space="preserve">Wikipedia</w:t>
      </w:r>
      <w:r>
        <w:t xml:space="preserve">.</w:t>
      </w:r>
      <w:r>
        <w:t xml:space="preserve"> </w:t>
      </w:r>
      <w:hyperlink r:id="rId176">
        <w:r>
          <w:rPr>
            <w:rStyle w:val="Hyperlink"/>
          </w:rPr>
          <w:t xml:space="preserve">https://en.wikipedia.org/w/index.php?title=R_(programming_language)&amp;oldid=1098779048</w:t>
        </w:r>
      </w:hyperlink>
    </w:p>
    <w:bookmarkEnd w:id="177"/>
    <w:bookmarkStart w:id="179"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178">
        <w:r>
          <w:rPr>
            <w:rStyle w:val="Hyperlink"/>
          </w:rPr>
          <w:t xml:space="preserve">https://doi.org/10.1037/0003-066X.63.9.839</w:t>
        </w:r>
      </w:hyperlink>
    </w:p>
    <w:bookmarkEnd w:id="179"/>
    <w:bookmarkStart w:id="181"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180">
        <w:r>
          <w:rPr>
            <w:rStyle w:val="Hyperlink"/>
          </w:rPr>
          <w:t xml:space="preserve">https://doi.org/10.1037/0033-2909.86.3.638</w:t>
        </w:r>
      </w:hyperlink>
    </w:p>
    <w:bookmarkEnd w:id="181"/>
    <w:bookmarkStart w:id="183"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182">
        <w:r>
          <w:rPr>
            <w:rStyle w:val="Hyperlink"/>
          </w:rPr>
          <w:t xml:space="preserve">https://doi.org/10.1037/amp0000240</w:t>
        </w:r>
      </w:hyperlink>
    </w:p>
    <w:bookmarkEnd w:id="183"/>
    <w:bookmarkStart w:id="185"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184">
        <w:r>
          <w:rPr>
            <w:rStyle w:val="Hyperlink"/>
          </w:rPr>
          <w:t xml:space="preserve">https://doi.org/10.12688/f1000research.11369.2</w:t>
        </w:r>
      </w:hyperlink>
    </w:p>
    <w:bookmarkEnd w:id="185"/>
    <w:bookmarkStart w:id="187"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186">
        <w:r>
          <w:rPr>
            <w:rStyle w:val="Hyperlink"/>
          </w:rPr>
          <w:t xml:space="preserve">https://en.wikipedia.org/w/index.php?title=RStudio&amp;oldid=1099226518</w:t>
        </w:r>
      </w:hyperlink>
    </w:p>
    <w:bookmarkEnd w:id="187"/>
    <w:bookmarkStart w:id="189"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188">
        <w:r>
          <w:rPr>
            <w:rStyle w:val="Hyperlink"/>
          </w:rPr>
          <w:t xml:space="preserve">http://dx.doi.org/10.18590/mjm.2017.vol3.iss3.1</w:t>
        </w:r>
      </w:hyperlink>
    </w:p>
    <w:bookmarkEnd w:id="189"/>
    <w:bookmarkStart w:id="190"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107">
        <w:r>
          <w:rPr>
            <w:rStyle w:val="Hyperlink"/>
          </w:rPr>
          <w:t xml:space="preserve">https://schoemanna.shinyapps.io/mc_power_med/</w:t>
        </w:r>
      </w:hyperlink>
    </w:p>
    <w:bookmarkEnd w:id="190"/>
    <w:bookmarkStart w:id="192"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191">
        <w:r>
          <w:rPr>
            <w:rStyle w:val="Hyperlink"/>
          </w:rPr>
          <w:t xml:space="preserve">https://doi.org/10.7717/peerj-cs.86</w:t>
        </w:r>
      </w:hyperlink>
    </w:p>
    <w:bookmarkEnd w:id="192"/>
    <w:bookmarkStart w:id="194"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193">
        <w:r>
          <w:rPr>
            <w:rStyle w:val="Hyperlink"/>
          </w:rPr>
          <w:t xml:space="preserve">https://doi.org/10.3389/fpsyg.2017.00862</w:t>
        </w:r>
      </w:hyperlink>
    </w:p>
    <w:bookmarkEnd w:id="194"/>
    <w:bookmarkStart w:id="196"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195">
        <w:r>
          <w:rPr>
            <w:rStyle w:val="Hyperlink"/>
          </w:rPr>
          <w:t xml:space="preserve">https://jasp-stats.org/faq/</w:t>
        </w:r>
      </w:hyperlink>
    </w:p>
    <w:bookmarkEnd w:id="196"/>
    <w:bookmarkStart w:id="197"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45">
        <w:r>
          <w:rPr>
            <w:rStyle w:val="Hyperlink"/>
          </w:rPr>
          <w:t xml:space="preserve">https://doi.org/10.1111/j.0013-2004.2004.00002.x</w:t>
        </w:r>
      </w:hyperlink>
    </w:p>
    <w:bookmarkEnd w:id="197"/>
    <w:bookmarkStart w:id="199" w:name="ref-van_t_veer_pre-registration_2016"/>
    <w:p>
      <w:pPr>
        <w:pStyle w:val="Bibliography"/>
      </w:pPr>
      <w:r>
        <w:t xml:space="preserve">Veer, A. E. van ’t,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198">
        <w:r>
          <w:rPr>
            <w:rStyle w:val="Hyperlink"/>
          </w:rPr>
          <w:t xml:space="preserve">https://doi.org/10.1016/j.jesp.2016.03.004</w:t>
        </w:r>
      </w:hyperlink>
    </w:p>
    <w:bookmarkEnd w:id="199"/>
    <w:bookmarkStart w:id="200"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48">
        <w:r>
          <w:rPr>
            <w:rStyle w:val="Hyperlink"/>
          </w:rPr>
          <w:t xml:space="preserve">https://www.dismantlingracism.org/white-supremacy-culture.html</w:t>
        </w:r>
      </w:hyperlink>
    </w:p>
    <w:bookmarkEnd w:id="200"/>
    <w:bookmarkEnd w:id="201"/>
    <w:bookmarkEnd w:id="202"/>
    <w:bookmarkEnd w:id="2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1"/>
  </w:num>
  <w:num w:numId="1039">
    <w:abstractNumId w:val="991"/>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jpg" /><Relationship Type="http://schemas.openxmlformats.org/officeDocument/2006/relationships/image" Id="rId70" Target="media/rId70.jpg" /><Relationship Type="http://schemas.openxmlformats.org/officeDocument/2006/relationships/image" Id="rId73" Target="media/rId73.jpg" /><Relationship Type="http://schemas.openxmlformats.org/officeDocument/2006/relationships/image" Id="rId76" Target="media/rId76.jpg" /><Relationship Type="http://schemas.openxmlformats.org/officeDocument/2006/relationships/image" Id="rId20" Target="media/rId20.png" /><Relationship Type="http://schemas.openxmlformats.org/officeDocument/2006/relationships/hyperlink" Id="rId117" Target="OSF;%20https://osf.io/" TargetMode="External" /><Relationship Type="http://schemas.openxmlformats.org/officeDocument/2006/relationships/hyperlink" Id="rId188" Target="http://dx.doi.org/10.18590/mjm.2017.vol3.iss3.1" TargetMode="External" /><Relationship Type="http://schemas.openxmlformats.org/officeDocument/2006/relationships/hyperlink" Id="rId138" Target="http://www.jstor.org/stable/689511" TargetMode="External" /><Relationship Type="http://schemas.openxmlformats.org/officeDocument/2006/relationships/hyperlink" Id="rId43" Target="https://alliance-primo.hosted.exlibrisgroup.com/permalink/f/rpqmv/CP71332049420001451" TargetMode="External" /><Relationship Type="http://schemas.openxmlformats.org/officeDocument/2006/relationships/hyperlink" Id="rId47" Target="https://apastyle.apa.org/jars/glossary" TargetMode="External" /><Relationship Type="http://schemas.openxmlformats.org/officeDocument/2006/relationships/hyperlink" Id="rId82" Target="https://apastyle.apa.org/jars/jars-quant-decision-flowchart.pdf" TargetMode="External" /><Relationship Type="http://schemas.openxmlformats.org/officeDocument/2006/relationships/hyperlink" Id="rId53" Target="https://apastyle.apa.org/jars/quantitative" TargetMode="External" /><Relationship Type="http://schemas.openxmlformats.org/officeDocument/2006/relationships/hyperlink" Id="rId85" Target="https://apastyle.apa.org/style-grammar-guidelines/paper-format/headings" TargetMode="External" /><Relationship Type="http://schemas.openxmlformats.org/officeDocument/2006/relationships/hyperlink" Id="rId105" Target="https://cran.r-project.org/" TargetMode="External" /><Relationship Type="http://schemas.openxmlformats.org/officeDocument/2006/relationships/hyperlink" Id="rId198" Target="https://doi.org/10.1016/j.jesp.2016.03.004" TargetMode="External" /><Relationship Type="http://schemas.openxmlformats.org/officeDocument/2006/relationships/hyperlink" Id="rId134" Target="https://doi.org/10.1037/0003-066X.38.4.414" TargetMode="External" /><Relationship Type="http://schemas.openxmlformats.org/officeDocument/2006/relationships/hyperlink" Id="rId44" Target="https://doi.org/10.1037/0003-066X.50.6.428" TargetMode="External" /><Relationship Type="http://schemas.openxmlformats.org/officeDocument/2006/relationships/hyperlink" Id="rId178" Target="https://doi.org/10.1037/0003-066X.63.9.839" TargetMode="External" /><Relationship Type="http://schemas.openxmlformats.org/officeDocument/2006/relationships/hyperlink" Id="rId180" Target="https://doi.org/10.1037/0033-2909.86.3.638" TargetMode="External" /><Relationship Type="http://schemas.openxmlformats.org/officeDocument/2006/relationships/hyperlink" Id="rId165" Target="https://doi.org/10.1037/a0040195" TargetMode="External" /><Relationship Type="http://schemas.openxmlformats.org/officeDocument/2006/relationships/hyperlink" Id="rId46" Target="https://doi.org/10.1037/amp0000191" TargetMode="External" /><Relationship Type="http://schemas.openxmlformats.org/officeDocument/2006/relationships/hyperlink" Id="rId182" Target="https://doi.org/10.1037/amp0000240" TargetMode="External" /><Relationship Type="http://schemas.openxmlformats.org/officeDocument/2006/relationships/hyperlink" Id="rId160" Target="https://doi.org/10.1037/amp0000242" TargetMode="External" /><Relationship Type="http://schemas.openxmlformats.org/officeDocument/2006/relationships/hyperlink" Id="rId124" Target="https://doi.org/10.1037/amp0000258" TargetMode="External" /><Relationship Type="http://schemas.openxmlformats.org/officeDocument/2006/relationships/hyperlink" Id="rId95" Target="https://doi.org/10.1037/amp0000879" TargetMode="External" /><Relationship Type="http://schemas.openxmlformats.org/officeDocument/2006/relationships/hyperlink" Id="rId42" Target="https://doi.org/10.1037/cou0000034" TargetMode="External" /><Relationship Type="http://schemas.openxmlformats.org/officeDocument/2006/relationships/hyperlink" Id="rId129" Target="https://doi.org/10.1038/489179a" TargetMode="External" /><Relationship Type="http://schemas.openxmlformats.org/officeDocument/2006/relationships/hyperlink" Id="rId136" Target="https://doi.org/10.1038/s41562-021-01193-7" TargetMode="External" /><Relationship Type="http://schemas.openxmlformats.org/officeDocument/2006/relationships/hyperlink" Id="rId152" Target="https://doi.org/10.1080/21642850.2021.2012474" TargetMode="External" /><Relationship Type="http://schemas.openxmlformats.org/officeDocument/2006/relationships/hyperlink" Id="rId172" Target="https://doi.org/10.1101/066803" TargetMode="External" /><Relationship Type="http://schemas.openxmlformats.org/officeDocument/2006/relationships/hyperlink" Id="rId45" Target="https://doi.org/10.1111/j.0013-2004.2004.00002.x" TargetMode="External" /><Relationship Type="http://schemas.openxmlformats.org/officeDocument/2006/relationships/hyperlink" Id="rId94" Target="https://doi.org/10.1126/science.aac4716" TargetMode="External" /><Relationship Type="http://schemas.openxmlformats.org/officeDocument/2006/relationships/hyperlink" Id="rId184" Target="https://doi.org/10.12688/f1000research.11369.2" TargetMode="External" /><Relationship Type="http://schemas.openxmlformats.org/officeDocument/2006/relationships/hyperlink" Id="rId141" Target="https://doi.org/10.1371/journal.pone.0137864" TargetMode="External" /><Relationship Type="http://schemas.openxmlformats.org/officeDocument/2006/relationships/hyperlink" Id="rId154" Target="https://doi.org/10.31235/osf.io/pz9jr" TargetMode="External" /><Relationship Type="http://schemas.openxmlformats.org/officeDocument/2006/relationships/hyperlink" Id="rId98" Target="https://doi.org/10.31235/osf.io/pz9jr;%20Haven%20et%20al.,%202020" TargetMode="External" /><Relationship Type="http://schemas.openxmlformats.org/officeDocument/2006/relationships/hyperlink" Id="rId193" Target="https://doi.org/10.3389/fpsyg.2017.00862" TargetMode="External" /><Relationship Type="http://schemas.openxmlformats.org/officeDocument/2006/relationships/hyperlink" Id="rId156" Target="https://doi.org/10.3389/fpsyg.2018.00256" TargetMode="External" /><Relationship Type="http://schemas.openxmlformats.org/officeDocument/2006/relationships/hyperlink" Id="rId131" Target="https://doi.org/10.5281/ZENODO.1212496" TargetMode="External" /><Relationship Type="http://schemas.openxmlformats.org/officeDocument/2006/relationships/hyperlink" Id="rId146" Target="https://doi.org/10.5811/westjem.2016.6.30836" TargetMode="External" /><Relationship Type="http://schemas.openxmlformats.org/officeDocument/2006/relationships/hyperlink" Id="rId191" Target="https://doi.org/10.7717/peerj-cs.86" TargetMode="External" /><Relationship Type="http://schemas.openxmlformats.org/officeDocument/2006/relationships/hyperlink" Id="rId148" Target="https://en.wikipedia.org/w/index.php?title=GitHub&amp;oldid=1097996266" TargetMode="External" /><Relationship Type="http://schemas.openxmlformats.org/officeDocument/2006/relationships/hyperlink" Id="rId162" Target="https://en.wikipedia.org/w/index.php?title=Mendeley&amp;oldid=1095492319" TargetMode="External" /><Relationship Type="http://schemas.openxmlformats.org/officeDocument/2006/relationships/hyperlink" Id="rId167" Target="https://en.wikipedia.org/w/index.php?title=Open_science&amp;oldid=1087027147" TargetMode="External" /><Relationship Type="http://schemas.openxmlformats.org/officeDocument/2006/relationships/hyperlink" Id="rId186" Target="https://en.wikipedia.org/w/index.php?title=RStudio&amp;oldid=1099226518" TargetMode="External" /><Relationship Type="http://schemas.openxmlformats.org/officeDocument/2006/relationships/hyperlink" Id="rId176" Target="https://en.wikipedia.org/w/index.php?title=R_(programming_language)&amp;oldid=1098779048" TargetMode="External" /><Relationship Type="http://schemas.openxmlformats.org/officeDocument/2006/relationships/hyperlink" Id="rId150"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4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3" Target="https://info.orcid.org/" TargetMode="External" /><Relationship Type="http://schemas.openxmlformats.org/officeDocument/2006/relationships/hyperlink" Id="rId108" Target="https://jasp-stats.org/" TargetMode="External" /><Relationship Type="http://schemas.openxmlformats.org/officeDocument/2006/relationships/hyperlink" Id="rId195"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7" Target="https://orcid.org" TargetMode="External" /><Relationship Type="http://schemas.openxmlformats.org/officeDocument/2006/relationships/hyperlink" Id="rId170"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7" Target="https://schoemanna.shinyapps.io/mc_power_med/" TargetMode="External" /><Relationship Type="http://schemas.openxmlformats.org/officeDocument/2006/relationships/hyperlink" Id="rId39" Target="https://spu.hosted.panopto.com/Panopto/Pages/Viewer.aspx?pid=8ca9d96d-0ff6-4068-a570-ac290189a4d4" TargetMode="External" /><Relationship Type="http://schemas.openxmlformats.org/officeDocument/2006/relationships/hyperlink" Id="rId126" Target="https://www.apa.org/ethics/code" TargetMode="External" /><Relationship Type="http://schemas.openxmlformats.org/officeDocument/2006/relationships/hyperlink" Id="rId103" Target="https://www.apa.org/pubs/databases/psycinfois" TargetMode="External" /><Relationship Type="http://schemas.openxmlformats.org/officeDocument/2006/relationships/hyperlink" Id="rId48" Target="https://www.dismantlingracism.org/white-supremacy-culture.html" TargetMode="External" /><Relationship Type="http://schemas.openxmlformats.org/officeDocument/2006/relationships/hyperlink" Id="rId174" Target="https://www.jamovi.org" TargetMode="External" /><Relationship Type="http://schemas.openxmlformats.org/officeDocument/2006/relationships/hyperlink" Id="rId106" Target="https://www.jstatsoft.org/index" TargetMode="External" /><Relationship Type="http://schemas.openxmlformats.org/officeDocument/2006/relationships/hyperlink" Id="rId144" Target="https://www.psycharchives.org/en/item/088c79cb-237c-4545-a9e2-3616d6cc8453" TargetMode="External" /><Relationship Type="http://schemas.openxmlformats.org/officeDocument/2006/relationships/hyperlink" Id="rId110" Target="https://www.zotero.org/" TargetMode="External" /><Relationship Type="http://schemas.openxmlformats.org/officeDocument/2006/relationships/hyperlink" Id="rId58" Target="mailto:author@institution.edu" TargetMode="External" /><Relationship Type="http://schemas.openxmlformats.org/officeDocument/2006/relationships/hyperlink" Id="rId111" Target="www.mendeley.com" TargetMode="External" /><Relationship Type="http://schemas.openxmlformats.org/officeDocument/2006/relationships/hyperlink" Id="rId116"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17" Target="OSF;%20https://osf.io/" TargetMode="External" /><Relationship Type="http://schemas.openxmlformats.org/officeDocument/2006/relationships/hyperlink" Id="rId188" Target="http://dx.doi.org/10.18590/mjm.2017.vol3.iss3.1" TargetMode="External" /><Relationship Type="http://schemas.openxmlformats.org/officeDocument/2006/relationships/hyperlink" Id="rId138" Target="http://www.jstor.org/stable/689511" TargetMode="External" /><Relationship Type="http://schemas.openxmlformats.org/officeDocument/2006/relationships/hyperlink" Id="rId43" Target="https://alliance-primo.hosted.exlibrisgroup.com/permalink/f/rpqmv/CP71332049420001451" TargetMode="External" /><Relationship Type="http://schemas.openxmlformats.org/officeDocument/2006/relationships/hyperlink" Id="rId47" Target="https://apastyle.apa.org/jars/glossary" TargetMode="External" /><Relationship Type="http://schemas.openxmlformats.org/officeDocument/2006/relationships/hyperlink" Id="rId82" Target="https://apastyle.apa.org/jars/jars-quant-decision-flowchart.pdf" TargetMode="External" /><Relationship Type="http://schemas.openxmlformats.org/officeDocument/2006/relationships/hyperlink" Id="rId53" Target="https://apastyle.apa.org/jars/quantitative" TargetMode="External" /><Relationship Type="http://schemas.openxmlformats.org/officeDocument/2006/relationships/hyperlink" Id="rId85" Target="https://apastyle.apa.org/style-grammar-guidelines/paper-format/headings" TargetMode="External" /><Relationship Type="http://schemas.openxmlformats.org/officeDocument/2006/relationships/hyperlink" Id="rId105" Target="https://cran.r-project.org/" TargetMode="External" /><Relationship Type="http://schemas.openxmlformats.org/officeDocument/2006/relationships/hyperlink" Id="rId198" Target="https://doi.org/10.1016/j.jesp.2016.03.004" TargetMode="External" /><Relationship Type="http://schemas.openxmlformats.org/officeDocument/2006/relationships/hyperlink" Id="rId134" Target="https://doi.org/10.1037/0003-066X.38.4.414" TargetMode="External" /><Relationship Type="http://schemas.openxmlformats.org/officeDocument/2006/relationships/hyperlink" Id="rId44" Target="https://doi.org/10.1037/0003-066X.50.6.428" TargetMode="External" /><Relationship Type="http://schemas.openxmlformats.org/officeDocument/2006/relationships/hyperlink" Id="rId178" Target="https://doi.org/10.1037/0003-066X.63.9.839" TargetMode="External" /><Relationship Type="http://schemas.openxmlformats.org/officeDocument/2006/relationships/hyperlink" Id="rId180" Target="https://doi.org/10.1037/0033-2909.86.3.638" TargetMode="External" /><Relationship Type="http://schemas.openxmlformats.org/officeDocument/2006/relationships/hyperlink" Id="rId165" Target="https://doi.org/10.1037/a0040195" TargetMode="External" /><Relationship Type="http://schemas.openxmlformats.org/officeDocument/2006/relationships/hyperlink" Id="rId46" Target="https://doi.org/10.1037/amp0000191" TargetMode="External" /><Relationship Type="http://schemas.openxmlformats.org/officeDocument/2006/relationships/hyperlink" Id="rId182" Target="https://doi.org/10.1037/amp0000240" TargetMode="External" /><Relationship Type="http://schemas.openxmlformats.org/officeDocument/2006/relationships/hyperlink" Id="rId160" Target="https://doi.org/10.1037/amp0000242" TargetMode="External" /><Relationship Type="http://schemas.openxmlformats.org/officeDocument/2006/relationships/hyperlink" Id="rId124" Target="https://doi.org/10.1037/amp0000258" TargetMode="External" /><Relationship Type="http://schemas.openxmlformats.org/officeDocument/2006/relationships/hyperlink" Id="rId95" Target="https://doi.org/10.1037/amp0000879" TargetMode="External" /><Relationship Type="http://schemas.openxmlformats.org/officeDocument/2006/relationships/hyperlink" Id="rId42" Target="https://doi.org/10.1037/cou0000034" TargetMode="External" /><Relationship Type="http://schemas.openxmlformats.org/officeDocument/2006/relationships/hyperlink" Id="rId129" Target="https://doi.org/10.1038/489179a" TargetMode="External" /><Relationship Type="http://schemas.openxmlformats.org/officeDocument/2006/relationships/hyperlink" Id="rId136" Target="https://doi.org/10.1038/s41562-021-01193-7" TargetMode="External" /><Relationship Type="http://schemas.openxmlformats.org/officeDocument/2006/relationships/hyperlink" Id="rId152" Target="https://doi.org/10.1080/21642850.2021.2012474" TargetMode="External" /><Relationship Type="http://schemas.openxmlformats.org/officeDocument/2006/relationships/hyperlink" Id="rId172" Target="https://doi.org/10.1101/066803" TargetMode="External" /><Relationship Type="http://schemas.openxmlformats.org/officeDocument/2006/relationships/hyperlink" Id="rId45" Target="https://doi.org/10.1111/j.0013-2004.2004.00002.x" TargetMode="External" /><Relationship Type="http://schemas.openxmlformats.org/officeDocument/2006/relationships/hyperlink" Id="rId94" Target="https://doi.org/10.1126/science.aac4716" TargetMode="External" /><Relationship Type="http://schemas.openxmlformats.org/officeDocument/2006/relationships/hyperlink" Id="rId184" Target="https://doi.org/10.12688/f1000research.11369.2" TargetMode="External" /><Relationship Type="http://schemas.openxmlformats.org/officeDocument/2006/relationships/hyperlink" Id="rId141" Target="https://doi.org/10.1371/journal.pone.0137864" TargetMode="External" /><Relationship Type="http://schemas.openxmlformats.org/officeDocument/2006/relationships/hyperlink" Id="rId154" Target="https://doi.org/10.31235/osf.io/pz9jr" TargetMode="External" /><Relationship Type="http://schemas.openxmlformats.org/officeDocument/2006/relationships/hyperlink" Id="rId98" Target="https://doi.org/10.31235/osf.io/pz9jr;%20Haven%20et%20al.,%202020" TargetMode="External" /><Relationship Type="http://schemas.openxmlformats.org/officeDocument/2006/relationships/hyperlink" Id="rId193" Target="https://doi.org/10.3389/fpsyg.2017.00862" TargetMode="External" /><Relationship Type="http://schemas.openxmlformats.org/officeDocument/2006/relationships/hyperlink" Id="rId156" Target="https://doi.org/10.3389/fpsyg.2018.00256" TargetMode="External" /><Relationship Type="http://schemas.openxmlformats.org/officeDocument/2006/relationships/hyperlink" Id="rId131" Target="https://doi.org/10.5281/ZENODO.1212496" TargetMode="External" /><Relationship Type="http://schemas.openxmlformats.org/officeDocument/2006/relationships/hyperlink" Id="rId146" Target="https://doi.org/10.5811/westjem.2016.6.30836" TargetMode="External" /><Relationship Type="http://schemas.openxmlformats.org/officeDocument/2006/relationships/hyperlink" Id="rId191" Target="https://doi.org/10.7717/peerj-cs.86" TargetMode="External" /><Relationship Type="http://schemas.openxmlformats.org/officeDocument/2006/relationships/hyperlink" Id="rId148" Target="https://en.wikipedia.org/w/index.php?title=GitHub&amp;oldid=1097996266" TargetMode="External" /><Relationship Type="http://schemas.openxmlformats.org/officeDocument/2006/relationships/hyperlink" Id="rId162" Target="https://en.wikipedia.org/w/index.php?title=Mendeley&amp;oldid=1095492319" TargetMode="External" /><Relationship Type="http://schemas.openxmlformats.org/officeDocument/2006/relationships/hyperlink" Id="rId167" Target="https://en.wikipedia.org/w/index.php?title=Open_science&amp;oldid=1087027147" TargetMode="External" /><Relationship Type="http://schemas.openxmlformats.org/officeDocument/2006/relationships/hyperlink" Id="rId186" Target="https://en.wikipedia.org/w/index.php?title=RStudio&amp;oldid=1099226518" TargetMode="External" /><Relationship Type="http://schemas.openxmlformats.org/officeDocument/2006/relationships/hyperlink" Id="rId176" Target="https://en.wikipedia.org/w/index.php?title=R_(programming_language)&amp;oldid=1098779048" TargetMode="External" /><Relationship Type="http://schemas.openxmlformats.org/officeDocument/2006/relationships/hyperlink" Id="rId150"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4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5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113" Target="https://info.orcid.org/" TargetMode="External" /><Relationship Type="http://schemas.openxmlformats.org/officeDocument/2006/relationships/hyperlink" Id="rId108" Target="https://jasp-stats.org/" TargetMode="External" /><Relationship Type="http://schemas.openxmlformats.org/officeDocument/2006/relationships/hyperlink" Id="rId195"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57" Target="https://orcid.org" TargetMode="External" /><Relationship Type="http://schemas.openxmlformats.org/officeDocument/2006/relationships/hyperlink" Id="rId170"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107" Target="https://schoemanna.shinyapps.io/mc_power_med/" TargetMode="External" /><Relationship Type="http://schemas.openxmlformats.org/officeDocument/2006/relationships/hyperlink" Id="rId39" Target="https://spu.hosted.panopto.com/Panopto/Pages/Viewer.aspx?pid=8ca9d96d-0ff6-4068-a570-ac290189a4d4" TargetMode="External" /><Relationship Type="http://schemas.openxmlformats.org/officeDocument/2006/relationships/hyperlink" Id="rId126" Target="https://www.apa.org/ethics/code" TargetMode="External" /><Relationship Type="http://schemas.openxmlformats.org/officeDocument/2006/relationships/hyperlink" Id="rId103" Target="https://www.apa.org/pubs/databases/psycinfois" TargetMode="External" /><Relationship Type="http://schemas.openxmlformats.org/officeDocument/2006/relationships/hyperlink" Id="rId48" Target="https://www.dismantlingracism.org/white-supremacy-culture.html" TargetMode="External" /><Relationship Type="http://schemas.openxmlformats.org/officeDocument/2006/relationships/hyperlink" Id="rId174" Target="https://www.jamovi.org" TargetMode="External" /><Relationship Type="http://schemas.openxmlformats.org/officeDocument/2006/relationships/hyperlink" Id="rId106" Target="https://www.jstatsoft.org/index" TargetMode="External" /><Relationship Type="http://schemas.openxmlformats.org/officeDocument/2006/relationships/hyperlink" Id="rId144" Target="https://www.psycharchives.org/en/item/088c79cb-237c-4545-a9e2-3616d6cc8453" TargetMode="External" /><Relationship Type="http://schemas.openxmlformats.org/officeDocument/2006/relationships/hyperlink" Id="rId110" Target="https://www.zotero.org/" TargetMode="External" /><Relationship Type="http://schemas.openxmlformats.org/officeDocument/2006/relationships/hyperlink" Id="rId58" Target="mailto:author@institution.edu" TargetMode="External" /><Relationship Type="http://schemas.openxmlformats.org/officeDocument/2006/relationships/hyperlink" Id="rId111" Target="www.mendeley.com" TargetMode="External" /><Relationship Type="http://schemas.openxmlformats.org/officeDocument/2006/relationships/hyperlink" Id="rId116"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Cirlene DeBlaere, PhD, Editors; Kiana Clay, Editorial Assistant</dc:creator>
  <dc:description>“Analysis of Variance” is a mini-volume in the ReCentering Psych Stats series that provides workflows and worked examples in R. A core focus of the ReCentering series is simulate data from published examples that recenter psychological research in a socially and culturally responsive manner.</dc:description>
  <cp:keywords/>
  <dcterms:created xsi:type="dcterms:W3CDTF">2022-07-22T15:48:00Z</dcterms:created>
  <dcterms:modified xsi:type="dcterms:W3CDTF">2022-07-22T15:48:00Z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22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