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75C" w:rsidRPr="00964FFF" w:rsidRDefault="00C9375C" w:rsidP="00C9375C">
      <w:pPr>
        <w:ind w:firstLineChars="727" w:firstLine="2627"/>
        <w:rPr>
          <w:rFonts w:asciiTheme="minorEastAsia" w:eastAsiaTheme="minorEastAsia" w:hAnsiTheme="minorEastAsia"/>
          <w:b/>
          <w:sz w:val="36"/>
          <w:szCs w:val="36"/>
        </w:rPr>
      </w:pPr>
      <w:r w:rsidRPr="00964FFF">
        <w:rPr>
          <w:rFonts w:asciiTheme="minorEastAsia" w:eastAsiaTheme="minorEastAsia" w:hAnsiTheme="minorEastAsia" w:hint="eastAsia"/>
          <w:b/>
          <w:sz w:val="36"/>
          <w:szCs w:val="36"/>
        </w:rPr>
        <w:t>权责事项信息表</w:t>
      </w:r>
    </w:p>
    <w:p w:rsidR="00C9375C" w:rsidRPr="00964FFF" w:rsidRDefault="00C9375C" w:rsidP="00C9375C">
      <w:pPr>
        <w:jc w:val="center"/>
        <w:rPr>
          <w:rFonts w:asciiTheme="minorEastAsia" w:eastAsiaTheme="minorEastAsia" w:hAnsiTheme="minorEastAsia"/>
          <w:sz w:val="24"/>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290"/>
        <w:gridCol w:w="13"/>
        <w:gridCol w:w="992"/>
        <w:gridCol w:w="225"/>
        <w:gridCol w:w="768"/>
        <w:gridCol w:w="425"/>
        <w:gridCol w:w="67"/>
        <w:gridCol w:w="360"/>
        <w:gridCol w:w="1080"/>
        <w:gridCol w:w="360"/>
        <w:gridCol w:w="684"/>
        <w:gridCol w:w="186"/>
        <w:gridCol w:w="1799"/>
      </w:tblGrid>
      <w:tr w:rsidR="00C9375C" w:rsidRPr="00964FFF" w:rsidTr="00F174AE">
        <w:trPr>
          <w:trHeight w:val="582"/>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8"/>
                <w:szCs w:val="28"/>
              </w:rPr>
              <w:t>基本信息</w:t>
            </w: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编    码</w:t>
            </w:r>
          </w:p>
        </w:tc>
        <w:tc>
          <w:tcPr>
            <w:tcW w:w="1217" w:type="dxa"/>
            <w:gridSpan w:val="2"/>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kern w:val="0"/>
                <w:sz w:val="24"/>
              </w:rPr>
              <w:t>4.1.6</w:t>
            </w:r>
          </w:p>
        </w:tc>
        <w:tc>
          <w:tcPr>
            <w:tcW w:w="119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名    称</w:t>
            </w:r>
          </w:p>
        </w:tc>
        <w:tc>
          <w:tcPr>
            <w:tcW w:w="1507" w:type="dxa"/>
            <w:gridSpan w:val="3"/>
            <w:vAlign w:val="center"/>
          </w:tcPr>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对纳税人通过提供虚假的证明资料等手段，骗取税务登记证的处罚</w:t>
            </w:r>
          </w:p>
        </w:tc>
        <w:tc>
          <w:tcPr>
            <w:tcW w:w="1230" w:type="dxa"/>
            <w:gridSpan w:val="3"/>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权力类型</w:t>
            </w:r>
          </w:p>
        </w:tc>
        <w:tc>
          <w:tcPr>
            <w:tcW w:w="1799" w:type="dxa"/>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hint="eastAsia"/>
                <w:sz w:val="24"/>
              </w:rPr>
              <w:t>行政处罚</w:t>
            </w:r>
          </w:p>
        </w:tc>
      </w:tr>
      <w:tr w:rsidR="00C9375C" w:rsidRPr="00964FFF" w:rsidTr="00F174AE">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设定依据</w:t>
            </w:r>
          </w:p>
        </w:tc>
        <w:tc>
          <w:tcPr>
            <w:tcW w:w="6946" w:type="dxa"/>
            <w:gridSpan w:val="11"/>
            <w:vAlign w:val="center"/>
          </w:tcPr>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1.《中华人民共和国行政处罚法》第十二条第二款。</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2.《税务登记管理办法》（国家税务总局令第7号公布，国家税务总局令第36号、第44号、第48号修改）第四十一条。</w:t>
            </w:r>
          </w:p>
        </w:tc>
      </w:tr>
      <w:tr w:rsidR="00C9375C" w:rsidRPr="00964FFF" w:rsidTr="00F174AE">
        <w:trPr>
          <w:trHeight w:val="946"/>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适用对象</w:t>
            </w:r>
          </w:p>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（可多选）</w:t>
            </w:r>
          </w:p>
        </w:tc>
        <w:tc>
          <w:tcPr>
            <w:tcW w:w="1217" w:type="dxa"/>
            <w:gridSpan w:val="2"/>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hint="eastAsia"/>
                <w:sz w:val="24"/>
              </w:rPr>
              <w:sym w:font="Wingdings 2" w:char="0052"/>
            </w:r>
            <w:r w:rsidRPr="00964FFF">
              <w:rPr>
                <w:rFonts w:asciiTheme="minorEastAsia" w:eastAsiaTheme="minorEastAsia" w:hAnsiTheme="minorEastAsia" w:hint="eastAsia"/>
                <w:sz w:val="24"/>
              </w:rPr>
              <w:t xml:space="preserve"> 单位</w:t>
            </w:r>
          </w:p>
          <w:p w:rsidR="00C9375C" w:rsidRPr="00964FFF" w:rsidRDefault="00C9375C" w:rsidP="00F174AE">
            <w:pPr>
              <w:spacing w:line="360" w:lineRule="exact"/>
              <w:jc w:val="center"/>
              <w:rPr>
                <w:rFonts w:asciiTheme="minorEastAsia" w:eastAsiaTheme="minorEastAsia" w:hAnsiTheme="minorEastAsia"/>
                <w:szCs w:val="21"/>
              </w:rPr>
            </w:pPr>
            <w:r w:rsidRPr="00964FFF">
              <w:rPr>
                <w:rFonts w:asciiTheme="minorEastAsia" w:eastAsiaTheme="minorEastAsia" w:hAnsiTheme="minorEastAsia" w:hint="eastAsia"/>
                <w:sz w:val="24"/>
              </w:rPr>
              <w:sym w:font="Wingdings 2" w:char="0052"/>
            </w:r>
            <w:r w:rsidRPr="00964FFF">
              <w:rPr>
                <w:rFonts w:asciiTheme="minorEastAsia" w:eastAsiaTheme="minorEastAsia" w:hAnsiTheme="minorEastAsia" w:hint="eastAsia"/>
                <w:sz w:val="24"/>
              </w:rPr>
              <w:t xml:space="preserve"> 个人</w:t>
            </w:r>
          </w:p>
        </w:tc>
        <w:tc>
          <w:tcPr>
            <w:tcW w:w="119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启动类型</w:t>
            </w:r>
          </w:p>
        </w:tc>
        <w:tc>
          <w:tcPr>
            <w:tcW w:w="1507" w:type="dxa"/>
            <w:gridSpan w:val="3"/>
            <w:vAlign w:val="center"/>
          </w:tcPr>
          <w:p w:rsidR="00C9375C" w:rsidRPr="00964FFF" w:rsidRDefault="00C9375C" w:rsidP="00F174AE">
            <w:pPr>
              <w:jc w:val="center"/>
              <w:rPr>
                <w:rFonts w:asciiTheme="minorEastAsia" w:eastAsiaTheme="minorEastAsia" w:hAnsiTheme="minorEastAsia"/>
                <w:sz w:val="24"/>
              </w:rPr>
            </w:pPr>
            <w:r w:rsidRPr="00964FFF">
              <w:rPr>
                <w:rFonts w:asciiTheme="minorEastAsia" w:eastAsiaTheme="minorEastAsia" w:hAnsiTheme="minorEastAsia" w:hint="eastAsia"/>
                <w:sz w:val="24"/>
              </w:rPr>
              <w:sym w:font="Wingdings 2" w:char="0052"/>
            </w:r>
            <w:r w:rsidRPr="00964FFF">
              <w:rPr>
                <w:rFonts w:asciiTheme="minorEastAsia" w:eastAsiaTheme="minorEastAsia" w:hAnsiTheme="minorEastAsia" w:hint="eastAsia"/>
                <w:sz w:val="24"/>
              </w:rPr>
              <w:t xml:space="preserve"> 依职权</w:t>
            </w:r>
          </w:p>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hint="eastAsia"/>
                <w:sz w:val="24"/>
              </w:rPr>
              <w:sym w:font="Wingdings 2" w:char="00A3"/>
            </w:r>
            <w:r w:rsidRPr="00964FFF">
              <w:rPr>
                <w:rFonts w:asciiTheme="minorEastAsia" w:eastAsiaTheme="minorEastAsia" w:hAnsiTheme="minorEastAsia" w:hint="eastAsia"/>
                <w:sz w:val="24"/>
              </w:rPr>
              <w:t xml:space="preserve"> 依申请</w:t>
            </w:r>
          </w:p>
        </w:tc>
        <w:tc>
          <w:tcPr>
            <w:tcW w:w="1230" w:type="dxa"/>
            <w:gridSpan w:val="3"/>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数量规定</w:t>
            </w:r>
          </w:p>
        </w:tc>
        <w:tc>
          <w:tcPr>
            <w:tcW w:w="1799" w:type="dxa"/>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r>
      <w:tr w:rsidR="00C9375C" w:rsidRPr="00964FFF" w:rsidTr="00F174AE">
        <w:trPr>
          <w:trHeight w:val="548"/>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收费规定</w:t>
            </w:r>
          </w:p>
        </w:tc>
        <w:tc>
          <w:tcPr>
            <w:tcW w:w="2410" w:type="dxa"/>
            <w:gridSpan w:val="4"/>
            <w:vAlign w:val="center"/>
          </w:tcPr>
          <w:p w:rsidR="00C9375C" w:rsidRPr="00964FFF" w:rsidRDefault="00C9375C" w:rsidP="00F174AE">
            <w:pPr>
              <w:spacing w:line="360" w:lineRule="exact"/>
              <w:jc w:val="center"/>
              <w:rPr>
                <w:rFonts w:asciiTheme="minorEastAsia" w:eastAsiaTheme="minorEastAsia" w:hAnsiTheme="minorEastAsia"/>
                <w:sz w:val="18"/>
              </w:rPr>
            </w:pPr>
            <w:r w:rsidRPr="00964FFF">
              <w:rPr>
                <w:rFonts w:asciiTheme="minorEastAsia" w:eastAsiaTheme="minorEastAsia" w:hAnsiTheme="minorEastAsia" w:cs="宋体" w:hint="eastAsia"/>
                <w:sz w:val="24"/>
              </w:rPr>
              <w:t>――</w:t>
            </w:r>
          </w:p>
        </w:tc>
        <w:tc>
          <w:tcPr>
            <w:tcW w:w="1507" w:type="dxa"/>
            <w:gridSpan w:val="3"/>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网上办理</w:t>
            </w:r>
          </w:p>
        </w:tc>
        <w:tc>
          <w:tcPr>
            <w:tcW w:w="3029" w:type="dxa"/>
            <w:gridSpan w:val="4"/>
            <w:vAlign w:val="center"/>
          </w:tcPr>
          <w:p w:rsidR="00C9375C" w:rsidRPr="00964FFF" w:rsidRDefault="00C9375C" w:rsidP="00F174AE">
            <w:pPr>
              <w:spacing w:line="360" w:lineRule="exact"/>
              <w:jc w:val="center"/>
              <w:rPr>
                <w:rFonts w:asciiTheme="minorEastAsia" w:eastAsiaTheme="minorEastAsia" w:hAnsiTheme="minorEastAsia"/>
                <w:sz w:val="36"/>
              </w:rPr>
            </w:pPr>
            <w:r w:rsidRPr="00964FFF">
              <w:rPr>
                <w:rFonts w:asciiTheme="minorEastAsia" w:eastAsiaTheme="minorEastAsia" w:hAnsiTheme="minorEastAsia" w:cs="宋体" w:hint="eastAsia"/>
                <w:sz w:val="24"/>
              </w:rPr>
              <w:t>――</w:t>
            </w:r>
          </w:p>
        </w:tc>
      </w:tr>
      <w:tr w:rsidR="00C9375C" w:rsidRPr="00964FFF" w:rsidTr="00F174AE">
        <w:trPr>
          <w:trHeight w:val="834"/>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通办类型</w:t>
            </w:r>
          </w:p>
        </w:tc>
        <w:tc>
          <w:tcPr>
            <w:tcW w:w="2410" w:type="dxa"/>
            <w:gridSpan w:val="4"/>
            <w:vAlign w:val="center"/>
          </w:tcPr>
          <w:p w:rsidR="00C9375C" w:rsidRPr="00964FFF" w:rsidRDefault="00C9375C" w:rsidP="00F174AE">
            <w:pPr>
              <w:spacing w:line="360" w:lineRule="exact"/>
              <w:jc w:val="center"/>
              <w:rPr>
                <w:rFonts w:asciiTheme="minorEastAsia" w:eastAsiaTheme="minorEastAsia" w:hAnsiTheme="minorEastAsia"/>
                <w:sz w:val="18"/>
              </w:rPr>
            </w:pPr>
            <w:r w:rsidRPr="00964FFF">
              <w:rPr>
                <w:rFonts w:asciiTheme="minorEastAsia" w:eastAsiaTheme="minorEastAsia" w:hAnsiTheme="minorEastAsia" w:cs="宋体" w:hint="eastAsia"/>
                <w:sz w:val="24"/>
              </w:rPr>
              <w:t>――</w:t>
            </w:r>
          </w:p>
        </w:tc>
        <w:tc>
          <w:tcPr>
            <w:tcW w:w="1507" w:type="dxa"/>
            <w:gridSpan w:val="3"/>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办理方式（可多选）</w:t>
            </w:r>
          </w:p>
        </w:tc>
        <w:tc>
          <w:tcPr>
            <w:tcW w:w="3029" w:type="dxa"/>
            <w:gridSpan w:val="4"/>
            <w:vAlign w:val="center"/>
          </w:tcPr>
          <w:p w:rsidR="00C9375C" w:rsidRPr="00964FFF" w:rsidRDefault="00C9375C" w:rsidP="00F174AE">
            <w:pPr>
              <w:spacing w:line="360" w:lineRule="exact"/>
              <w:jc w:val="center"/>
              <w:rPr>
                <w:rFonts w:asciiTheme="minorEastAsia" w:eastAsiaTheme="minorEastAsia" w:hAnsiTheme="minorEastAsia"/>
                <w:sz w:val="18"/>
              </w:rPr>
            </w:pPr>
            <w:r w:rsidRPr="00964FFF">
              <w:rPr>
                <w:rFonts w:asciiTheme="minorEastAsia" w:eastAsiaTheme="minorEastAsia" w:hAnsiTheme="minorEastAsia" w:cs="宋体" w:hint="eastAsia"/>
                <w:sz w:val="24"/>
              </w:rPr>
              <w:t>――</w:t>
            </w:r>
          </w:p>
        </w:tc>
      </w:tr>
      <w:tr w:rsidR="00C9375C" w:rsidRPr="00964FFF" w:rsidTr="00F174AE">
        <w:trPr>
          <w:trHeight w:val="696"/>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r w:rsidRPr="00964FFF">
              <w:rPr>
                <w:rFonts w:asciiTheme="minorEastAsia" w:eastAsiaTheme="minorEastAsia" w:hAnsiTheme="minorEastAsia" w:hint="eastAsia"/>
                <w:b/>
                <w:sz w:val="28"/>
                <w:szCs w:val="28"/>
              </w:rPr>
              <w:t>办理信息</w:t>
            </w: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8"/>
                <w:szCs w:val="28"/>
              </w:rPr>
              <w:t>办理信息</w:t>
            </w: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受理部门</w:t>
            </w:r>
          </w:p>
        </w:tc>
        <w:tc>
          <w:tcPr>
            <w:tcW w:w="2410" w:type="dxa"/>
            <w:gridSpan w:val="4"/>
            <w:vAlign w:val="center"/>
          </w:tcPr>
          <w:p w:rsidR="00C9375C" w:rsidRPr="00964FFF" w:rsidRDefault="00C9375C" w:rsidP="00F174AE">
            <w:pPr>
              <w:spacing w:line="360" w:lineRule="exact"/>
              <w:jc w:val="center"/>
              <w:rPr>
                <w:rFonts w:asciiTheme="minorEastAsia" w:eastAsiaTheme="minorEastAsia" w:hAnsiTheme="minorEastAsia"/>
                <w:b/>
                <w:sz w:val="18"/>
              </w:rPr>
            </w:pPr>
            <w:r w:rsidRPr="00964FFF">
              <w:rPr>
                <w:rFonts w:asciiTheme="minorEastAsia" w:eastAsiaTheme="minorEastAsia" w:hAnsiTheme="minorEastAsia" w:cs="宋体" w:hint="eastAsia"/>
                <w:sz w:val="24"/>
              </w:rPr>
              <w:t>――</w:t>
            </w:r>
          </w:p>
        </w:tc>
        <w:tc>
          <w:tcPr>
            <w:tcW w:w="1507" w:type="dxa"/>
            <w:gridSpan w:val="3"/>
            <w:vAlign w:val="center"/>
          </w:tcPr>
          <w:p w:rsidR="00C9375C" w:rsidRPr="00964FFF" w:rsidRDefault="00C9375C" w:rsidP="00F174AE">
            <w:pPr>
              <w:spacing w:line="360" w:lineRule="exact"/>
              <w:jc w:val="center"/>
              <w:rPr>
                <w:rFonts w:asciiTheme="minorEastAsia" w:eastAsiaTheme="minorEastAsia" w:hAnsiTheme="minorEastAsia"/>
                <w:sz w:val="18"/>
                <w:szCs w:val="18"/>
              </w:rPr>
            </w:pPr>
            <w:r w:rsidRPr="00964FFF">
              <w:rPr>
                <w:rFonts w:asciiTheme="minorEastAsia" w:eastAsiaTheme="minorEastAsia" w:hAnsiTheme="minorEastAsia" w:hint="eastAsia"/>
                <w:b/>
                <w:sz w:val="24"/>
              </w:rPr>
              <w:t>地址</w:t>
            </w:r>
          </w:p>
        </w:tc>
        <w:tc>
          <w:tcPr>
            <w:tcW w:w="3029" w:type="dxa"/>
            <w:gridSpan w:val="4"/>
            <w:vAlign w:val="center"/>
          </w:tcPr>
          <w:p w:rsidR="00C9375C" w:rsidRPr="00964FFF" w:rsidRDefault="00C9375C" w:rsidP="00F174AE">
            <w:pPr>
              <w:spacing w:line="360" w:lineRule="exact"/>
              <w:jc w:val="center"/>
              <w:rPr>
                <w:rFonts w:asciiTheme="minorEastAsia" w:eastAsiaTheme="minorEastAsia" w:hAnsiTheme="minorEastAsia"/>
                <w:sz w:val="18"/>
                <w:szCs w:val="18"/>
              </w:rPr>
            </w:pPr>
            <w:r w:rsidRPr="00964FFF">
              <w:rPr>
                <w:rFonts w:asciiTheme="minorEastAsia" w:eastAsiaTheme="minorEastAsia" w:hAnsiTheme="minorEastAsia" w:cs="宋体" w:hint="eastAsia"/>
                <w:sz w:val="24"/>
              </w:rPr>
              <w:t>――</w:t>
            </w:r>
          </w:p>
        </w:tc>
      </w:tr>
      <w:tr w:rsidR="00C9375C" w:rsidRPr="00964FFF" w:rsidTr="00F174AE">
        <w:trPr>
          <w:trHeight w:val="564"/>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实施机关</w:t>
            </w:r>
          </w:p>
        </w:tc>
        <w:tc>
          <w:tcPr>
            <w:tcW w:w="1217" w:type="dxa"/>
            <w:gridSpan w:val="2"/>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国家税务总局本溪市平山区税务局第二税务分局</w:t>
            </w:r>
          </w:p>
        </w:tc>
        <w:tc>
          <w:tcPr>
            <w:tcW w:w="119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管辖范围</w:t>
            </w:r>
          </w:p>
        </w:tc>
        <w:tc>
          <w:tcPr>
            <w:tcW w:w="1507" w:type="dxa"/>
            <w:gridSpan w:val="3"/>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辽宁省本溪市平山区重点税源企业</w:t>
            </w:r>
          </w:p>
        </w:tc>
        <w:tc>
          <w:tcPr>
            <w:tcW w:w="1044"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地址</w:t>
            </w:r>
          </w:p>
        </w:tc>
        <w:tc>
          <w:tcPr>
            <w:tcW w:w="1985" w:type="dxa"/>
            <w:gridSpan w:val="2"/>
            <w:vAlign w:val="center"/>
          </w:tcPr>
          <w:p w:rsidR="00C9375C" w:rsidRDefault="00C9375C" w:rsidP="00F174AE">
            <w:pPr>
              <w:spacing w:line="360" w:lineRule="exact"/>
              <w:jc w:val="left"/>
              <w:rPr>
                <w:rFonts w:ascii="仿宋_GB2312" w:eastAsia="仿宋_GB2312"/>
                <w:sz w:val="18"/>
                <w:szCs w:val="18"/>
              </w:rPr>
            </w:pPr>
            <w:r>
              <w:rPr>
                <w:rFonts w:ascii="仿宋_GB2312" w:eastAsia="仿宋_GB2312" w:hAnsi="黑体" w:hint="eastAsia"/>
                <w:sz w:val="24"/>
              </w:rPr>
              <w:t>辽宁省本溪市平山区新城路48号（点击导航）</w:t>
            </w:r>
          </w:p>
        </w:tc>
      </w:tr>
      <w:tr w:rsidR="00C9375C" w:rsidRPr="00964FFF" w:rsidTr="00F174AE">
        <w:trPr>
          <w:trHeight w:val="572"/>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适用条件</w:t>
            </w:r>
          </w:p>
        </w:tc>
        <w:tc>
          <w:tcPr>
            <w:tcW w:w="6946" w:type="dxa"/>
            <w:gridSpan w:val="11"/>
            <w:vAlign w:val="center"/>
          </w:tcPr>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纳税人通过提供虚假的证明资料等手段，骗取税务登记证。</w:t>
            </w:r>
          </w:p>
        </w:tc>
      </w:tr>
      <w:tr w:rsidR="00C9375C" w:rsidRPr="00964FFF" w:rsidTr="00F174AE">
        <w:trPr>
          <w:trHeight w:val="554"/>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裁量标准</w:t>
            </w:r>
          </w:p>
        </w:tc>
        <w:tc>
          <w:tcPr>
            <w:tcW w:w="6946" w:type="dxa"/>
            <w:gridSpan w:val="11"/>
            <w:vAlign w:val="center"/>
          </w:tcPr>
          <w:p w:rsidR="00C9375C" w:rsidRPr="00964FFF" w:rsidRDefault="00C9375C" w:rsidP="00F174AE">
            <w:pPr>
              <w:spacing w:line="360" w:lineRule="exact"/>
              <w:rPr>
                <w:rFonts w:asciiTheme="minorEastAsia" w:eastAsiaTheme="minorEastAsia" w:hAnsiTheme="minorEastAsia"/>
                <w:bCs/>
                <w:sz w:val="24"/>
              </w:rPr>
            </w:pPr>
            <w:r w:rsidRPr="00964FFF">
              <w:rPr>
                <w:rFonts w:asciiTheme="minorEastAsia" w:eastAsiaTheme="minorEastAsia" w:hAnsiTheme="minorEastAsia" w:hint="eastAsia"/>
                <w:bCs/>
                <w:sz w:val="24"/>
              </w:rPr>
              <w:t>《辽宁省税务行政处罚裁量基准（第一批）》暂无此项。</w:t>
            </w:r>
          </w:p>
        </w:tc>
      </w:tr>
      <w:tr w:rsidR="00C9375C" w:rsidRPr="00964FFF" w:rsidTr="00F174AE">
        <w:trPr>
          <w:trHeight w:val="593"/>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提交材料</w:t>
            </w:r>
          </w:p>
        </w:tc>
        <w:tc>
          <w:tcPr>
            <w:tcW w:w="6946" w:type="dxa"/>
            <w:gridSpan w:val="11"/>
            <w:vAlign w:val="center"/>
          </w:tcPr>
          <w:p w:rsidR="00C9375C" w:rsidRPr="00964FFF" w:rsidRDefault="00C9375C" w:rsidP="00F174AE">
            <w:pPr>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r>
      <w:tr w:rsidR="00C9375C" w:rsidRPr="00964FFF" w:rsidTr="00F174AE">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申请期限</w:t>
            </w:r>
          </w:p>
        </w:tc>
        <w:tc>
          <w:tcPr>
            <w:tcW w:w="992" w:type="dxa"/>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c>
          <w:tcPr>
            <w:tcW w:w="99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法定办理期限</w:t>
            </w:r>
          </w:p>
        </w:tc>
        <w:tc>
          <w:tcPr>
            <w:tcW w:w="1932" w:type="dxa"/>
            <w:gridSpan w:val="4"/>
            <w:vAlign w:val="center"/>
          </w:tcPr>
          <w:p w:rsidR="00C9375C" w:rsidRPr="00964FFF" w:rsidRDefault="00C9375C" w:rsidP="00F174AE">
            <w:pPr>
              <w:spacing w:line="360" w:lineRule="exact"/>
              <w:jc w:val="center"/>
              <w:rPr>
                <w:rFonts w:asciiTheme="minorEastAsia" w:eastAsiaTheme="minorEastAsia" w:hAnsiTheme="minorEastAsia"/>
                <w:sz w:val="18"/>
                <w:szCs w:val="18"/>
              </w:rPr>
            </w:pPr>
            <w:r w:rsidRPr="00964FFF">
              <w:rPr>
                <w:rFonts w:asciiTheme="minorEastAsia" w:eastAsiaTheme="minorEastAsia" w:hAnsiTheme="minorEastAsia" w:cs="宋体" w:hint="eastAsia"/>
                <w:sz w:val="24"/>
              </w:rPr>
              <w:t>――</w:t>
            </w:r>
          </w:p>
        </w:tc>
        <w:tc>
          <w:tcPr>
            <w:tcW w:w="1044"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承诺办理期限</w:t>
            </w:r>
          </w:p>
        </w:tc>
        <w:tc>
          <w:tcPr>
            <w:tcW w:w="1985" w:type="dxa"/>
            <w:gridSpan w:val="2"/>
            <w:vAlign w:val="center"/>
          </w:tcPr>
          <w:p w:rsidR="00C9375C" w:rsidRPr="00964FFF" w:rsidRDefault="00C9375C" w:rsidP="00F174AE">
            <w:pPr>
              <w:spacing w:line="360" w:lineRule="exact"/>
              <w:jc w:val="center"/>
              <w:rPr>
                <w:rFonts w:asciiTheme="minorEastAsia" w:eastAsiaTheme="minorEastAsia" w:hAnsiTheme="minorEastAsia"/>
                <w:sz w:val="18"/>
              </w:rPr>
            </w:pPr>
            <w:r w:rsidRPr="00964FFF">
              <w:rPr>
                <w:rFonts w:asciiTheme="minorEastAsia" w:eastAsiaTheme="minorEastAsia" w:hAnsiTheme="minorEastAsia" w:cs="宋体" w:hint="eastAsia"/>
                <w:sz w:val="24"/>
              </w:rPr>
              <w:t>――</w:t>
            </w:r>
          </w:p>
        </w:tc>
      </w:tr>
      <w:tr w:rsidR="00C9375C" w:rsidRPr="00964FFF" w:rsidTr="00F174AE">
        <w:trPr>
          <w:trHeight w:val="647"/>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办理流程</w:t>
            </w:r>
          </w:p>
        </w:tc>
        <w:tc>
          <w:tcPr>
            <w:tcW w:w="6946" w:type="dxa"/>
            <w:gridSpan w:val="11"/>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hint="eastAsia"/>
                <w:sz w:val="24"/>
              </w:rPr>
              <w:t>（点击展示《税务行政职权运行流程图》）</w:t>
            </w:r>
          </w:p>
        </w:tc>
      </w:tr>
      <w:tr w:rsidR="00C9375C" w:rsidRPr="00964FFF" w:rsidTr="00F174AE">
        <w:trPr>
          <w:trHeight w:val="503"/>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特殊规定</w:t>
            </w:r>
          </w:p>
        </w:tc>
        <w:tc>
          <w:tcPr>
            <w:tcW w:w="6946" w:type="dxa"/>
            <w:gridSpan w:val="11"/>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r>
      <w:tr w:rsidR="00C9375C" w:rsidRPr="00964FFF" w:rsidTr="00F174AE">
        <w:trPr>
          <w:trHeight w:val="528"/>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中介服务及依据</w:t>
            </w:r>
          </w:p>
        </w:tc>
        <w:tc>
          <w:tcPr>
            <w:tcW w:w="6946" w:type="dxa"/>
            <w:gridSpan w:val="11"/>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r>
      <w:tr w:rsidR="00C9375C" w:rsidRPr="00964FFF" w:rsidTr="00F174AE">
        <w:trPr>
          <w:trHeight w:val="67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部门衔接</w:t>
            </w:r>
          </w:p>
        </w:tc>
        <w:tc>
          <w:tcPr>
            <w:tcW w:w="6946" w:type="dxa"/>
            <w:gridSpan w:val="11"/>
            <w:vAlign w:val="center"/>
          </w:tcPr>
          <w:p w:rsidR="00C9375C" w:rsidRPr="00964FFF" w:rsidRDefault="00C9375C" w:rsidP="00F174AE">
            <w:pPr>
              <w:spacing w:line="360" w:lineRule="exact"/>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964FFF">
              <w:rPr>
                <w:rFonts w:asciiTheme="minorEastAsia" w:eastAsiaTheme="minorEastAsia" w:hAnsiTheme="minorEastAsia" w:cs="宋体" w:hint="eastAsia"/>
                <w:sz w:val="24"/>
              </w:rPr>
              <w:t>――</w:t>
            </w:r>
          </w:p>
        </w:tc>
      </w:tr>
      <w:tr w:rsidR="00C9375C" w:rsidRPr="00964FFF" w:rsidTr="00F174AE">
        <w:trPr>
          <w:trHeight w:val="723"/>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8"/>
                <w:szCs w:val="28"/>
              </w:rPr>
              <w:t>监管措施</w:t>
            </w: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日常监管</w:t>
            </w:r>
          </w:p>
        </w:tc>
        <w:tc>
          <w:tcPr>
            <w:tcW w:w="6946" w:type="dxa"/>
            <w:gridSpan w:val="11"/>
            <w:vAlign w:val="center"/>
          </w:tcPr>
          <w:p w:rsidR="00C9375C" w:rsidRPr="00964FFF" w:rsidRDefault="00C9375C" w:rsidP="00F174AE">
            <w:pPr>
              <w:widowControl/>
              <w:jc w:val="left"/>
              <w:textAlignment w:val="center"/>
              <w:rPr>
                <w:rFonts w:asciiTheme="minorEastAsia" w:eastAsiaTheme="minorEastAsia" w:hAnsiTheme="minorEastAsia"/>
                <w:sz w:val="24"/>
              </w:rPr>
            </w:pPr>
            <w:r w:rsidRPr="00964FFF">
              <w:rPr>
                <w:rFonts w:asciiTheme="minorEastAsia" w:eastAsiaTheme="minorEastAsia" w:hAnsiTheme="minorEastAsia" w:hint="eastAsia"/>
                <w:sz w:val="24"/>
              </w:rPr>
              <w:t>1.当事人逾期不履行行政处罚决定的，作出行政处罚决定的税务机关可以每日按罚款数额的百分之三加处罚款；</w:t>
            </w:r>
          </w:p>
          <w:p w:rsidR="00C9375C" w:rsidRPr="00964FFF" w:rsidRDefault="00C9375C" w:rsidP="00F174AE">
            <w:pPr>
              <w:spacing w:line="360" w:lineRule="exact"/>
              <w:jc w:val="left"/>
              <w:rPr>
                <w:rFonts w:asciiTheme="minorEastAsia" w:eastAsiaTheme="minorEastAsia" w:hAnsiTheme="minorEastAsia"/>
                <w:sz w:val="24"/>
                <w:szCs w:val="18"/>
              </w:rPr>
            </w:pPr>
            <w:r w:rsidRPr="00964FFF">
              <w:rPr>
                <w:rFonts w:asciiTheme="minorEastAsia" w:eastAsiaTheme="minorEastAsia" w:hAnsiTheme="minorEastAsia" w:hint="eastAsia"/>
                <w:sz w:val="24"/>
              </w:rPr>
              <w:t>2.当事人对税务机关的处罚决定逾期不申请行政复议也不向人民法院起诉、又不履行的，作出处罚决定的税务机关可以采取《中华人民共和国税收征收管理法》第四十条规定的强制执行措施，或者申请人民法院强制执行。</w:t>
            </w:r>
          </w:p>
        </w:tc>
      </w:tr>
      <w:tr w:rsidR="00C9375C" w:rsidRPr="00964FFF" w:rsidTr="00F174AE">
        <w:trPr>
          <w:trHeight w:val="62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共享信息</w:t>
            </w:r>
          </w:p>
        </w:tc>
        <w:tc>
          <w:tcPr>
            <w:tcW w:w="2477" w:type="dxa"/>
            <w:gridSpan w:val="5"/>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c>
          <w:tcPr>
            <w:tcW w:w="1440"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核查信息</w:t>
            </w:r>
          </w:p>
        </w:tc>
        <w:tc>
          <w:tcPr>
            <w:tcW w:w="3029" w:type="dxa"/>
            <w:gridSpan w:val="4"/>
            <w:vAlign w:val="center"/>
          </w:tcPr>
          <w:p w:rsidR="00C9375C" w:rsidRPr="00964FFF" w:rsidRDefault="00C9375C" w:rsidP="00F174AE">
            <w:pPr>
              <w:spacing w:line="360" w:lineRule="exact"/>
              <w:jc w:val="center"/>
              <w:rPr>
                <w:rFonts w:asciiTheme="minorEastAsia" w:eastAsiaTheme="minorEastAsia" w:hAnsiTheme="minorEastAsia"/>
                <w:sz w:val="24"/>
              </w:rPr>
            </w:pPr>
            <w:r w:rsidRPr="00964FFF">
              <w:rPr>
                <w:rFonts w:asciiTheme="minorEastAsia" w:eastAsiaTheme="minorEastAsia" w:hAnsiTheme="minorEastAsia" w:cs="宋体" w:hint="eastAsia"/>
                <w:sz w:val="24"/>
              </w:rPr>
              <w:t>――</w:t>
            </w:r>
          </w:p>
        </w:tc>
      </w:tr>
      <w:tr w:rsidR="00C9375C" w:rsidRPr="00964FFF" w:rsidTr="00F174AE">
        <w:trPr>
          <w:trHeight w:val="642"/>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8"/>
                <w:szCs w:val="28"/>
              </w:rPr>
              <w:t>咨询查询</w:t>
            </w: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咨询途径</w:t>
            </w:r>
          </w:p>
        </w:tc>
        <w:tc>
          <w:tcPr>
            <w:tcW w:w="6946" w:type="dxa"/>
            <w:gridSpan w:val="11"/>
            <w:vAlign w:val="center"/>
          </w:tcPr>
          <w:p w:rsidR="00C9375C" w:rsidRDefault="00C9375C" w:rsidP="00F174AE">
            <w:pPr>
              <w:spacing w:line="360" w:lineRule="exact"/>
              <w:jc w:val="center"/>
              <w:rPr>
                <w:rFonts w:ascii="仿宋_GB2312" w:eastAsia="仿宋_GB2312" w:hAnsi="黑体"/>
                <w:sz w:val="24"/>
              </w:rPr>
            </w:pPr>
            <w:r>
              <w:rPr>
                <w:rFonts w:ascii="仿宋_GB2312" w:eastAsia="仿宋_GB2312" w:hAnsi="黑体" w:hint="eastAsia"/>
                <w:sz w:val="24"/>
              </w:rPr>
              <w:t>电话：12366    024-42388545                                地址：辽宁省本溪市平山区新城路48号</w:t>
            </w:r>
          </w:p>
        </w:tc>
      </w:tr>
      <w:tr w:rsidR="00C9375C" w:rsidRPr="00964FFF" w:rsidTr="00F174AE">
        <w:trPr>
          <w:trHeight w:val="991"/>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进度结果查询</w:t>
            </w:r>
          </w:p>
        </w:tc>
        <w:tc>
          <w:tcPr>
            <w:tcW w:w="6946" w:type="dxa"/>
            <w:gridSpan w:val="11"/>
            <w:vAlign w:val="center"/>
          </w:tcPr>
          <w:p w:rsidR="00C9375C" w:rsidRDefault="00C9375C" w:rsidP="00F174AE">
            <w:pPr>
              <w:spacing w:line="360" w:lineRule="exact"/>
              <w:jc w:val="center"/>
              <w:rPr>
                <w:rFonts w:ascii="仿宋_GB2312" w:eastAsia="仿宋_GB2312" w:hAnsi="黑体"/>
                <w:sz w:val="24"/>
              </w:rPr>
            </w:pPr>
            <w:r>
              <w:rPr>
                <w:rFonts w:ascii="仿宋_GB2312" w:eastAsia="仿宋_GB2312" w:hAnsi="黑体" w:hint="eastAsia"/>
                <w:sz w:val="24"/>
              </w:rPr>
              <w:t>电话：12366    024-42388545                                地址：辽宁省本溪市平山区新城路48号</w:t>
            </w:r>
          </w:p>
        </w:tc>
      </w:tr>
      <w:tr w:rsidR="00C9375C" w:rsidRPr="00964FFF" w:rsidTr="00F174AE">
        <w:trPr>
          <w:trHeight w:val="83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结果名称及样本</w:t>
            </w:r>
          </w:p>
        </w:tc>
        <w:tc>
          <w:tcPr>
            <w:tcW w:w="6946" w:type="dxa"/>
            <w:gridSpan w:val="11"/>
            <w:vAlign w:val="center"/>
          </w:tcPr>
          <w:p w:rsidR="00C9375C" w:rsidRDefault="00C9375C" w:rsidP="00F174AE">
            <w:pPr>
              <w:spacing w:line="360" w:lineRule="exact"/>
              <w:jc w:val="center"/>
              <w:rPr>
                <w:rFonts w:ascii="仿宋_GB2312" w:eastAsia="仿宋_GB2312" w:hAnsi="黑体"/>
                <w:sz w:val="24"/>
              </w:rPr>
            </w:pPr>
            <w:r>
              <w:rPr>
                <w:rFonts w:ascii="宋体" w:hAnsi="宋体" w:cs="宋体" w:hint="eastAsia"/>
                <w:sz w:val="24"/>
              </w:rPr>
              <w:t>――</w:t>
            </w:r>
            <w:r>
              <w:rPr>
                <w:rFonts w:ascii="仿宋_GB2312" w:eastAsia="仿宋_GB2312" w:hAnsi="黑体" w:hint="eastAsia"/>
                <w:sz w:val="24"/>
              </w:rPr>
              <w:t xml:space="preserve">  </w:t>
            </w:r>
            <w:r>
              <w:rPr>
                <w:rFonts w:ascii="宋体" w:hAnsi="宋体" w:cs="宋体" w:hint="eastAsia"/>
                <w:sz w:val="24"/>
              </w:rPr>
              <w:t>――</w:t>
            </w:r>
          </w:p>
        </w:tc>
      </w:tr>
      <w:tr w:rsidR="00C9375C" w:rsidRPr="00964FFF" w:rsidTr="00F174AE">
        <w:trPr>
          <w:trHeight w:val="83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结果公示渠道</w:t>
            </w:r>
          </w:p>
        </w:tc>
        <w:tc>
          <w:tcPr>
            <w:tcW w:w="6946" w:type="dxa"/>
            <w:gridSpan w:val="11"/>
            <w:vAlign w:val="center"/>
          </w:tcPr>
          <w:p w:rsidR="00C9375C" w:rsidRDefault="00C9375C" w:rsidP="00F174AE">
            <w:pPr>
              <w:spacing w:line="360" w:lineRule="exact"/>
              <w:jc w:val="center"/>
              <w:rPr>
                <w:rFonts w:ascii="仿宋_GB2312" w:eastAsia="仿宋_GB2312" w:hAnsi="黑体"/>
                <w:sz w:val="24"/>
              </w:rPr>
            </w:pPr>
            <w:r>
              <w:rPr>
                <w:rFonts w:ascii="宋体" w:hAnsi="宋体" w:cs="宋体" w:hint="eastAsia"/>
                <w:sz w:val="24"/>
              </w:rPr>
              <w:t>――</w:t>
            </w:r>
            <w:r>
              <w:rPr>
                <w:rFonts w:ascii="仿宋_GB2312" w:eastAsia="仿宋_GB2312" w:hAnsi="黑体" w:hint="eastAsia"/>
                <w:sz w:val="24"/>
              </w:rPr>
              <w:t xml:space="preserve">  </w:t>
            </w:r>
            <w:r>
              <w:rPr>
                <w:rFonts w:ascii="宋体" w:hAnsi="宋体" w:cs="宋体" w:hint="eastAsia"/>
                <w:sz w:val="24"/>
              </w:rPr>
              <w:t>――</w:t>
            </w:r>
          </w:p>
        </w:tc>
      </w:tr>
      <w:tr w:rsidR="00C9375C" w:rsidRPr="00964FFF" w:rsidTr="00F174AE">
        <w:trPr>
          <w:trHeight w:val="411"/>
        </w:trPr>
        <w:tc>
          <w:tcPr>
            <w:tcW w:w="1951" w:type="dxa"/>
            <w:gridSpan w:val="3"/>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8"/>
                <w:szCs w:val="28"/>
              </w:rPr>
              <w:t>申请人责任</w:t>
            </w:r>
          </w:p>
        </w:tc>
        <w:tc>
          <w:tcPr>
            <w:tcW w:w="6946" w:type="dxa"/>
            <w:gridSpan w:val="11"/>
            <w:vAlign w:val="center"/>
          </w:tcPr>
          <w:p w:rsidR="00C9375C" w:rsidRPr="00964FFF" w:rsidRDefault="00C9375C" w:rsidP="00F174AE">
            <w:pPr>
              <w:spacing w:line="360" w:lineRule="exact"/>
              <w:jc w:val="center"/>
              <w:rPr>
                <w:rFonts w:asciiTheme="minorEastAsia" w:eastAsiaTheme="minorEastAsia" w:hAnsiTheme="minorEastAsia"/>
                <w:sz w:val="24"/>
                <w:szCs w:val="18"/>
              </w:rPr>
            </w:pPr>
            <w:r w:rsidRPr="00964FFF">
              <w:rPr>
                <w:rFonts w:asciiTheme="minorEastAsia" w:eastAsiaTheme="minorEastAsia" w:hAnsiTheme="minorEastAsia" w:cs="宋体" w:hint="eastAsia"/>
                <w:sz w:val="24"/>
              </w:rPr>
              <w:t>――</w:t>
            </w:r>
          </w:p>
        </w:tc>
      </w:tr>
      <w:tr w:rsidR="00C9375C" w:rsidRPr="00964FFF" w:rsidTr="00F174AE">
        <w:trPr>
          <w:trHeight w:val="444"/>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r w:rsidRPr="00964FFF">
              <w:rPr>
                <w:rFonts w:asciiTheme="minorEastAsia" w:eastAsiaTheme="minorEastAsia" w:hAnsiTheme="minorEastAsia" w:hint="eastAsia"/>
                <w:b/>
                <w:sz w:val="28"/>
                <w:szCs w:val="28"/>
              </w:rPr>
              <w:t>监督责任</w:t>
            </w: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p>
          <w:p w:rsidR="00C9375C" w:rsidRPr="00964FFF" w:rsidRDefault="00C9375C" w:rsidP="00F174AE">
            <w:pPr>
              <w:spacing w:line="360" w:lineRule="exact"/>
              <w:jc w:val="center"/>
              <w:rPr>
                <w:rFonts w:asciiTheme="minorEastAsia" w:eastAsiaTheme="minorEastAsia" w:hAnsiTheme="minorEastAsia"/>
                <w:b/>
                <w:sz w:val="28"/>
                <w:szCs w:val="28"/>
              </w:rPr>
            </w:pPr>
            <w:r w:rsidRPr="00964FFF">
              <w:rPr>
                <w:rFonts w:asciiTheme="minorEastAsia" w:eastAsiaTheme="minorEastAsia" w:hAnsiTheme="minorEastAsia" w:hint="eastAsia"/>
                <w:b/>
                <w:sz w:val="28"/>
                <w:szCs w:val="28"/>
              </w:rPr>
              <w:t>监督责任</w:t>
            </w:r>
          </w:p>
        </w:tc>
        <w:tc>
          <w:tcPr>
            <w:tcW w:w="1303" w:type="dxa"/>
            <w:gridSpan w:val="2"/>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lastRenderedPageBreak/>
              <w:t>追责情形</w:t>
            </w:r>
          </w:p>
        </w:tc>
        <w:tc>
          <w:tcPr>
            <w:tcW w:w="6946" w:type="dxa"/>
            <w:gridSpan w:val="11"/>
            <w:vAlign w:val="center"/>
          </w:tcPr>
          <w:p w:rsidR="00C9375C" w:rsidRPr="00964FFF" w:rsidRDefault="00C9375C" w:rsidP="00F174AE">
            <w:pPr>
              <w:spacing w:line="360" w:lineRule="exact"/>
              <w:jc w:val="left"/>
              <w:rPr>
                <w:rFonts w:asciiTheme="minorEastAsia" w:eastAsiaTheme="minorEastAsia" w:hAnsiTheme="minorEastAsia"/>
                <w:sz w:val="24"/>
              </w:rPr>
            </w:pP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税务机关及其工作人员履行行政职责存在以下情形的，应当承担相应责任：</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1.没有法定的行政处罚依据的，擅自改变行政处罚种类、幅度的，违反法定的行政处罚程序的；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2.对当事人进行处罚不使用罚款、没收财物单据或者使用非法定部门制发的罚款、没收财物单据的；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3.违反《中华人民共和国行政处罚法》第四十六条的规定自行收缴罚款的；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4.将罚款、没收的违法所得或者财物截留、私分或者变相私分的；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5.为牟取本单位私利，对应当依法移交司法机关追究刑事责任的不移交，以行政处罚代替刑罚，经由上级行政机关或者有关部门责令纠正而拒不纠正的；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6.玩忽职守，对应当予以制止和处罚的违法行为不予制止、处罚，致使公民、法人或者其他组织的合法权益、公共利益和社会秩序遭受损害的；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7.利用职务上的便利，索取或者收受纳税人、扣缴义务人财物或者谋取不正当利益，收缴罚款据为己有的；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lastRenderedPageBreak/>
              <w:t>8.滥用职权，故意刁难纳税人、扣缴义务人的；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9.未按照规定为纳税人、扣缴义务人保密的；</w:t>
            </w:r>
          </w:p>
          <w:p w:rsidR="00C9375C" w:rsidRPr="00964FFF" w:rsidRDefault="00C9375C" w:rsidP="00F174AE">
            <w:pPr>
              <w:spacing w:line="360" w:lineRule="exact"/>
              <w:jc w:val="left"/>
              <w:rPr>
                <w:rFonts w:asciiTheme="minorEastAsia" w:eastAsiaTheme="minorEastAsia" w:hAnsiTheme="minorEastAsia"/>
                <w:sz w:val="24"/>
              </w:rPr>
            </w:pPr>
            <w:r w:rsidRPr="00964FFF">
              <w:rPr>
                <w:rFonts w:asciiTheme="minorEastAsia" w:eastAsiaTheme="minorEastAsia" w:hAnsiTheme="minorEastAsia" w:hint="eastAsia"/>
                <w:sz w:val="24"/>
              </w:rPr>
              <w:t>10.法律、行政法规等规定的其他不履行或者不正确履行行政职责的情形。</w:t>
            </w:r>
          </w:p>
        </w:tc>
      </w:tr>
      <w:tr w:rsidR="00C9375C" w:rsidRPr="00964FFF" w:rsidTr="00F174AE">
        <w:trPr>
          <w:trHeight w:val="62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监督机构</w:t>
            </w:r>
          </w:p>
        </w:tc>
        <w:tc>
          <w:tcPr>
            <w:tcW w:w="2837" w:type="dxa"/>
            <w:gridSpan w:val="6"/>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国家税务总局本溪市平山区税务局纪检组</w:t>
            </w:r>
          </w:p>
        </w:tc>
        <w:tc>
          <w:tcPr>
            <w:tcW w:w="1440"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联系方式</w:t>
            </w:r>
          </w:p>
        </w:tc>
        <w:tc>
          <w:tcPr>
            <w:tcW w:w="2669" w:type="dxa"/>
            <w:gridSpan w:val="3"/>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通信地址：辽宁省本溪市平山区新城路48号/电话：024-42896309</w:t>
            </w:r>
          </w:p>
        </w:tc>
      </w:tr>
      <w:tr w:rsidR="00C9375C" w:rsidRPr="00964FFF" w:rsidTr="00F174AE">
        <w:trPr>
          <w:trHeight w:val="908"/>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投诉受理机构</w:t>
            </w:r>
          </w:p>
        </w:tc>
        <w:tc>
          <w:tcPr>
            <w:tcW w:w="2837" w:type="dxa"/>
            <w:gridSpan w:val="6"/>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国家税务总局本溪市平山区税务局纳税服务股</w:t>
            </w:r>
          </w:p>
        </w:tc>
        <w:tc>
          <w:tcPr>
            <w:tcW w:w="1440"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联系方式</w:t>
            </w:r>
          </w:p>
        </w:tc>
        <w:tc>
          <w:tcPr>
            <w:tcW w:w="2669" w:type="dxa"/>
            <w:gridSpan w:val="3"/>
            <w:vAlign w:val="center"/>
          </w:tcPr>
          <w:p w:rsidR="00C9375C" w:rsidRDefault="00C9375C" w:rsidP="00F174AE">
            <w:pPr>
              <w:spacing w:line="360" w:lineRule="exact"/>
              <w:rPr>
                <w:rFonts w:ascii="仿宋_GB2312" w:eastAsia="仿宋_GB2312" w:hAnsi="黑体"/>
                <w:sz w:val="24"/>
              </w:rPr>
            </w:pPr>
            <w:r>
              <w:rPr>
                <w:rFonts w:ascii="仿宋_GB2312" w:eastAsia="仿宋_GB2312" w:hAnsi="黑体" w:hint="eastAsia"/>
                <w:sz w:val="24"/>
              </w:rPr>
              <w:t>通信地址：辽宁省本溪市明山区解放北路63号/电话：024-42896936</w:t>
            </w:r>
          </w:p>
        </w:tc>
      </w:tr>
      <w:tr w:rsidR="00C9375C" w:rsidRPr="00964FFF" w:rsidTr="00F174AE">
        <w:trPr>
          <w:trHeight w:val="324"/>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4"/>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信访受理机构</w:t>
            </w:r>
          </w:p>
        </w:tc>
        <w:tc>
          <w:tcPr>
            <w:tcW w:w="2837" w:type="dxa"/>
            <w:gridSpan w:val="6"/>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国家税务总局本溪市平山区税务局办公室</w:t>
            </w:r>
          </w:p>
        </w:tc>
        <w:tc>
          <w:tcPr>
            <w:tcW w:w="1440"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地址和联系方式</w:t>
            </w:r>
          </w:p>
        </w:tc>
        <w:tc>
          <w:tcPr>
            <w:tcW w:w="2669" w:type="dxa"/>
            <w:gridSpan w:val="3"/>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辽宁省本溪市平山区新城路48号（点击导航）</w:t>
            </w:r>
          </w:p>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024-42388500</w:t>
            </w:r>
          </w:p>
        </w:tc>
      </w:tr>
      <w:tr w:rsidR="00C9375C" w:rsidRPr="00964FFF" w:rsidTr="00F174AE">
        <w:trPr>
          <w:trHeight w:val="1250"/>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8"/>
                <w:szCs w:val="28"/>
              </w:rPr>
            </w:pPr>
            <w:r w:rsidRPr="00964FFF">
              <w:rPr>
                <w:rFonts w:asciiTheme="minorEastAsia" w:eastAsiaTheme="minorEastAsia" w:hAnsiTheme="minorEastAsia" w:hint="eastAsia"/>
                <w:b/>
                <w:sz w:val="28"/>
                <w:szCs w:val="28"/>
              </w:rPr>
              <w:t>法律救济</w:t>
            </w: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行政复议机关</w:t>
            </w:r>
          </w:p>
        </w:tc>
        <w:tc>
          <w:tcPr>
            <w:tcW w:w="2837" w:type="dxa"/>
            <w:gridSpan w:val="6"/>
            <w:vAlign w:val="center"/>
          </w:tcPr>
          <w:p w:rsidR="00C9375C" w:rsidRDefault="00C9375C" w:rsidP="00F174AE">
            <w:pPr>
              <w:spacing w:line="360" w:lineRule="exact"/>
              <w:jc w:val="left"/>
              <w:rPr>
                <w:rFonts w:ascii="仿宋_GB2312" w:eastAsia="仿宋_GB2312" w:hAnsi="黑体"/>
                <w:szCs w:val="21"/>
              </w:rPr>
            </w:pPr>
            <w:r>
              <w:rPr>
                <w:rFonts w:ascii="仿宋_GB2312" w:eastAsia="仿宋_GB2312" w:hAnsi="黑体" w:hint="eastAsia"/>
                <w:sz w:val="24"/>
              </w:rPr>
              <w:t>国家税务总局本溪市平山区税务局</w:t>
            </w:r>
          </w:p>
        </w:tc>
        <w:tc>
          <w:tcPr>
            <w:tcW w:w="1440"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地址和联系方式</w:t>
            </w:r>
          </w:p>
        </w:tc>
        <w:tc>
          <w:tcPr>
            <w:tcW w:w="2669" w:type="dxa"/>
            <w:gridSpan w:val="3"/>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辽宁省本溪市平山区新城路48号（点击导航）</w:t>
            </w:r>
          </w:p>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024-42896307</w:t>
            </w:r>
          </w:p>
        </w:tc>
      </w:tr>
      <w:tr w:rsidR="00C9375C" w:rsidRPr="00964FFF" w:rsidTr="00F174AE">
        <w:trPr>
          <w:trHeight w:val="125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b/>
                <w:sz w:val="28"/>
                <w:szCs w:val="28"/>
              </w:rPr>
            </w:pPr>
          </w:p>
        </w:tc>
        <w:tc>
          <w:tcPr>
            <w:tcW w:w="1303" w:type="dxa"/>
            <w:gridSpan w:val="2"/>
            <w:vAlign w:val="center"/>
          </w:tcPr>
          <w:p w:rsidR="00C9375C" w:rsidRDefault="00C9375C" w:rsidP="00F174AE">
            <w:pPr>
              <w:spacing w:line="360" w:lineRule="exact"/>
              <w:jc w:val="center"/>
              <w:rPr>
                <w:rFonts w:ascii="仿宋_GB2312" w:eastAsia="仿宋_GB2312" w:hAnsi="黑体"/>
                <w:b/>
                <w:sz w:val="24"/>
              </w:rPr>
            </w:pPr>
            <w:r>
              <w:rPr>
                <w:rFonts w:ascii="仿宋_GB2312" w:eastAsia="仿宋_GB2312" w:hAnsi="黑体" w:hint="eastAsia"/>
                <w:b/>
                <w:sz w:val="24"/>
              </w:rPr>
              <w:t>行政诉讼管辖法院</w:t>
            </w:r>
          </w:p>
        </w:tc>
        <w:tc>
          <w:tcPr>
            <w:tcW w:w="6946" w:type="dxa"/>
            <w:gridSpan w:val="11"/>
            <w:vAlign w:val="center"/>
          </w:tcPr>
          <w:p w:rsidR="00C9375C" w:rsidRDefault="00C9375C" w:rsidP="00F174AE">
            <w:pPr>
              <w:spacing w:line="360" w:lineRule="exact"/>
              <w:jc w:val="left"/>
              <w:rPr>
                <w:rFonts w:ascii="仿宋_GB2312" w:eastAsia="仿宋_GB2312" w:hAnsi="黑体"/>
                <w:sz w:val="24"/>
              </w:rPr>
            </w:pPr>
            <w:r>
              <w:rPr>
                <w:rFonts w:ascii="仿宋_GB2312" w:eastAsia="仿宋_GB2312" w:hAnsi="黑体" w:hint="eastAsia"/>
                <w:sz w:val="24"/>
              </w:rPr>
              <w:t>辽宁省本溪市平山区人民法院</w:t>
            </w:r>
          </w:p>
        </w:tc>
      </w:tr>
      <w:tr w:rsidR="00C9375C" w:rsidRPr="00964FFF" w:rsidTr="00F174AE">
        <w:trPr>
          <w:trHeight w:val="1498"/>
        </w:trPr>
        <w:tc>
          <w:tcPr>
            <w:tcW w:w="648" w:type="dxa"/>
            <w:vAlign w:val="center"/>
          </w:tcPr>
          <w:p w:rsidR="00C9375C" w:rsidRPr="00964FFF" w:rsidRDefault="00C9375C" w:rsidP="00F174AE">
            <w:pPr>
              <w:spacing w:line="360" w:lineRule="exact"/>
              <w:jc w:val="center"/>
              <w:rPr>
                <w:rFonts w:asciiTheme="minorEastAsia" w:eastAsiaTheme="minorEastAsia" w:hAnsiTheme="minorEastAsia"/>
                <w:b/>
                <w:sz w:val="28"/>
                <w:szCs w:val="28"/>
              </w:rPr>
            </w:pPr>
            <w:r w:rsidRPr="00964FFF">
              <w:rPr>
                <w:rFonts w:asciiTheme="minorEastAsia" w:eastAsiaTheme="minorEastAsia" w:hAnsiTheme="minorEastAsia" w:hint="eastAsia"/>
                <w:b/>
                <w:sz w:val="28"/>
                <w:szCs w:val="28"/>
              </w:rPr>
              <w:t>常见问题</w:t>
            </w:r>
          </w:p>
        </w:tc>
        <w:tc>
          <w:tcPr>
            <w:tcW w:w="8249" w:type="dxa"/>
            <w:gridSpan w:val="13"/>
            <w:vAlign w:val="center"/>
          </w:tcPr>
          <w:p w:rsidR="00C9375C" w:rsidRPr="00964FFF" w:rsidRDefault="00C9375C" w:rsidP="00F174AE">
            <w:pPr>
              <w:spacing w:line="360" w:lineRule="exact"/>
              <w:rPr>
                <w:rFonts w:asciiTheme="minorEastAsia" w:eastAsiaTheme="minorEastAsia" w:hAnsiTheme="minorEastAsia"/>
                <w:b/>
                <w:sz w:val="24"/>
              </w:rPr>
            </w:pPr>
          </w:p>
        </w:tc>
      </w:tr>
      <w:tr w:rsidR="00C9375C" w:rsidRPr="00964FFF" w:rsidTr="00F174AE">
        <w:trPr>
          <w:trHeight w:val="770"/>
        </w:trPr>
        <w:tc>
          <w:tcPr>
            <w:tcW w:w="648" w:type="dxa"/>
            <w:vMerge w:val="restart"/>
            <w:vAlign w:val="center"/>
          </w:tcPr>
          <w:p w:rsidR="00C9375C" w:rsidRPr="00964FFF" w:rsidRDefault="00C9375C" w:rsidP="00F174AE">
            <w:pPr>
              <w:spacing w:line="360" w:lineRule="exact"/>
              <w:jc w:val="center"/>
              <w:rPr>
                <w:rFonts w:asciiTheme="minorEastAsia" w:eastAsiaTheme="minorEastAsia" w:hAnsiTheme="minorEastAsia"/>
                <w:b/>
                <w:sz w:val="28"/>
                <w:szCs w:val="28"/>
              </w:rPr>
            </w:pPr>
            <w:r w:rsidRPr="00964FFF">
              <w:rPr>
                <w:rFonts w:asciiTheme="minorEastAsia" w:eastAsiaTheme="minorEastAsia" w:hAnsiTheme="minorEastAsia" w:hint="eastAsia"/>
                <w:b/>
                <w:sz w:val="28"/>
                <w:szCs w:val="28"/>
              </w:rPr>
              <w:t>留言区</w:t>
            </w:r>
          </w:p>
        </w:tc>
        <w:tc>
          <w:tcPr>
            <w:tcW w:w="1290" w:type="dxa"/>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我要投诉</w:t>
            </w:r>
          </w:p>
        </w:tc>
        <w:tc>
          <w:tcPr>
            <w:tcW w:w="6959" w:type="dxa"/>
            <w:gridSpan w:val="12"/>
            <w:vAlign w:val="center"/>
          </w:tcPr>
          <w:p w:rsidR="00C9375C" w:rsidRPr="00964FFF" w:rsidRDefault="00C9375C" w:rsidP="00F174AE">
            <w:pPr>
              <w:spacing w:line="360" w:lineRule="exact"/>
              <w:jc w:val="center"/>
              <w:rPr>
                <w:rFonts w:asciiTheme="minorEastAsia" w:eastAsiaTheme="minorEastAsia" w:hAnsiTheme="minorEastAsia"/>
                <w:sz w:val="24"/>
              </w:rPr>
            </w:pPr>
          </w:p>
        </w:tc>
      </w:tr>
      <w:tr w:rsidR="00C9375C" w:rsidRPr="00964FFF" w:rsidTr="00F174AE">
        <w:trPr>
          <w:trHeight w:val="77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sz w:val="24"/>
              </w:rPr>
            </w:pPr>
          </w:p>
        </w:tc>
        <w:tc>
          <w:tcPr>
            <w:tcW w:w="1290" w:type="dxa"/>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我要评价</w:t>
            </w:r>
          </w:p>
        </w:tc>
        <w:tc>
          <w:tcPr>
            <w:tcW w:w="6959" w:type="dxa"/>
            <w:gridSpan w:val="12"/>
            <w:vAlign w:val="center"/>
          </w:tcPr>
          <w:p w:rsidR="00C9375C" w:rsidRPr="00964FFF" w:rsidRDefault="00C9375C" w:rsidP="00F174AE">
            <w:pPr>
              <w:spacing w:line="360" w:lineRule="exact"/>
              <w:jc w:val="center"/>
              <w:rPr>
                <w:rFonts w:asciiTheme="minorEastAsia" w:eastAsiaTheme="minorEastAsia" w:hAnsiTheme="minorEastAsia"/>
                <w:sz w:val="24"/>
              </w:rPr>
            </w:pPr>
          </w:p>
        </w:tc>
      </w:tr>
      <w:tr w:rsidR="00C9375C" w:rsidRPr="00964FFF" w:rsidTr="00F174AE">
        <w:trPr>
          <w:trHeight w:val="710"/>
        </w:trPr>
        <w:tc>
          <w:tcPr>
            <w:tcW w:w="648" w:type="dxa"/>
            <w:vMerge/>
            <w:vAlign w:val="center"/>
          </w:tcPr>
          <w:p w:rsidR="00C9375C" w:rsidRPr="00964FFF" w:rsidRDefault="00C9375C" w:rsidP="00F174AE">
            <w:pPr>
              <w:spacing w:line="360" w:lineRule="exact"/>
              <w:jc w:val="center"/>
              <w:rPr>
                <w:rFonts w:asciiTheme="minorEastAsia" w:eastAsiaTheme="minorEastAsia" w:hAnsiTheme="minorEastAsia"/>
                <w:sz w:val="24"/>
              </w:rPr>
            </w:pPr>
          </w:p>
        </w:tc>
        <w:tc>
          <w:tcPr>
            <w:tcW w:w="1290" w:type="dxa"/>
            <w:vAlign w:val="center"/>
          </w:tcPr>
          <w:p w:rsidR="00C9375C" w:rsidRPr="00964FFF" w:rsidRDefault="00C9375C" w:rsidP="00F174AE">
            <w:pPr>
              <w:spacing w:line="360" w:lineRule="exact"/>
              <w:jc w:val="center"/>
              <w:rPr>
                <w:rFonts w:asciiTheme="minorEastAsia" w:eastAsiaTheme="minorEastAsia" w:hAnsiTheme="minorEastAsia"/>
                <w:b/>
                <w:sz w:val="24"/>
              </w:rPr>
            </w:pPr>
            <w:r w:rsidRPr="00964FFF">
              <w:rPr>
                <w:rFonts w:asciiTheme="minorEastAsia" w:eastAsiaTheme="minorEastAsia" w:hAnsiTheme="minorEastAsia" w:hint="eastAsia"/>
                <w:b/>
                <w:sz w:val="24"/>
              </w:rPr>
              <w:t>我要建议</w:t>
            </w:r>
          </w:p>
        </w:tc>
        <w:tc>
          <w:tcPr>
            <w:tcW w:w="6959" w:type="dxa"/>
            <w:gridSpan w:val="12"/>
            <w:vAlign w:val="center"/>
          </w:tcPr>
          <w:p w:rsidR="00C9375C" w:rsidRPr="00964FFF" w:rsidRDefault="00C9375C" w:rsidP="00F174AE">
            <w:pPr>
              <w:spacing w:line="360" w:lineRule="exact"/>
              <w:jc w:val="center"/>
              <w:rPr>
                <w:rFonts w:asciiTheme="minorEastAsia" w:eastAsiaTheme="minorEastAsia" w:hAnsiTheme="minorEastAsia"/>
                <w:sz w:val="24"/>
              </w:rPr>
            </w:pPr>
          </w:p>
        </w:tc>
      </w:tr>
    </w:tbl>
    <w:p w:rsidR="00C9375C" w:rsidRPr="00964FFF" w:rsidRDefault="00C9375C" w:rsidP="00C9375C">
      <w:pPr>
        <w:rPr>
          <w:rFonts w:asciiTheme="minorEastAsia" w:eastAsiaTheme="minorEastAsia" w:hAnsiTheme="minorEastAsia"/>
        </w:rPr>
      </w:pPr>
    </w:p>
    <w:p w:rsidR="00C9375C" w:rsidRPr="00964FFF" w:rsidRDefault="00C9375C" w:rsidP="00C9375C">
      <w:pPr>
        <w:rPr>
          <w:rFonts w:asciiTheme="minorEastAsia" w:eastAsiaTheme="minorEastAsia" w:hAnsiTheme="minorEastAsia"/>
        </w:rPr>
      </w:pPr>
    </w:p>
    <w:p w:rsidR="00EB46FC" w:rsidRPr="00C9375C" w:rsidRDefault="00EB46FC" w:rsidP="00C9375C">
      <w:pPr>
        <w:widowControl/>
        <w:jc w:val="left"/>
        <w:rPr>
          <w:rFonts w:asciiTheme="minorEastAsia" w:eastAsiaTheme="minorEastAsia" w:hAnsiTheme="minorEastAsia"/>
        </w:rPr>
      </w:pPr>
    </w:p>
    <w:sectPr w:rsidR="00EB46FC" w:rsidRPr="00C9375C" w:rsidSect="00082014">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D13" w:rsidRDefault="00415D13">
      <w:r>
        <w:separator/>
      </w:r>
    </w:p>
  </w:endnote>
  <w:endnote w:type="continuationSeparator" w:id="1">
    <w:p w:rsidR="00415D13" w:rsidRDefault="00415D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FC" w:rsidRDefault="00DA0795">
    <w:pPr>
      <w:pStyle w:val="a4"/>
    </w:pPr>
    <w:r>
      <w:pict>
        <v:shapetype id="_x0000_t202" coordsize="21600,21600" o:spt="202" path="m,l,21600r21600,l21600,xe">
          <v:stroke joinstyle="miter"/>
          <v:path gradientshapeok="t" o:connecttype="rect"/>
        </v:shapetype>
        <v:shape id="_x0000_s3073" type="#_x0000_t202" style="position:absolute;margin-left:0;margin-top:0;width:2in;height:2in;z-index:251660288;mso-wrap-style:none;mso-position-horizontal:center;mso-position-horizontal-relative:margin" filled="f" stroked="f">
          <v:textbox style="mso-fit-shape-to-text:t" inset="0,0,0,0">
            <w:txbxContent>
              <w:p w:rsidR="00EB46FC" w:rsidRDefault="00DA0795">
                <w:pPr>
                  <w:pStyle w:val="a4"/>
                </w:pPr>
                <w:r>
                  <w:fldChar w:fldCharType="begin"/>
                </w:r>
                <w:r w:rsidR="00C65CD3">
                  <w:instrText xml:space="preserve"> PAGE  \* MERGEFORMAT </w:instrText>
                </w:r>
                <w:r>
                  <w:fldChar w:fldCharType="separate"/>
                </w:r>
                <w:r w:rsidR="00C9375C">
                  <w:rPr>
                    <w:noProof/>
                  </w:rPr>
                  <w:t>1</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D13" w:rsidRDefault="00415D13">
      <w:r>
        <w:separator/>
      </w:r>
    </w:p>
  </w:footnote>
  <w:footnote w:type="continuationSeparator" w:id="1">
    <w:p w:rsidR="00415D13" w:rsidRDefault="00415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6FC" w:rsidRDefault="00EB46FC">
    <w:pPr>
      <w:pStyle w:val="a5"/>
      <w:pBdr>
        <w:bottom w:val="none" w:sz="0" w:space="1"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AA"/>
    <w:rsid w:val="000013D1"/>
    <w:rsid w:val="00011F6B"/>
    <w:rsid w:val="00025D5E"/>
    <w:rsid w:val="0006338F"/>
    <w:rsid w:val="00065E68"/>
    <w:rsid w:val="00082014"/>
    <w:rsid w:val="00083828"/>
    <w:rsid w:val="00086687"/>
    <w:rsid w:val="000940DA"/>
    <w:rsid w:val="00096063"/>
    <w:rsid w:val="00096466"/>
    <w:rsid w:val="000976A0"/>
    <w:rsid w:val="000A72C5"/>
    <w:rsid w:val="000F3B0B"/>
    <w:rsid w:val="00127CBF"/>
    <w:rsid w:val="00154F1A"/>
    <w:rsid w:val="00191B26"/>
    <w:rsid w:val="001B20FC"/>
    <w:rsid w:val="001C7EBD"/>
    <w:rsid w:val="001D523C"/>
    <w:rsid w:val="001E530A"/>
    <w:rsid w:val="002046CC"/>
    <w:rsid w:val="002053AB"/>
    <w:rsid w:val="0023064B"/>
    <w:rsid w:val="00244CE0"/>
    <w:rsid w:val="00246161"/>
    <w:rsid w:val="00252315"/>
    <w:rsid w:val="00263083"/>
    <w:rsid w:val="00263923"/>
    <w:rsid w:val="00265D66"/>
    <w:rsid w:val="00274C20"/>
    <w:rsid w:val="002D7B5A"/>
    <w:rsid w:val="002E4238"/>
    <w:rsid w:val="00335E98"/>
    <w:rsid w:val="00367C65"/>
    <w:rsid w:val="00393AB2"/>
    <w:rsid w:val="003A29FC"/>
    <w:rsid w:val="003B000D"/>
    <w:rsid w:val="003C5703"/>
    <w:rsid w:val="003D08E4"/>
    <w:rsid w:val="003D59E5"/>
    <w:rsid w:val="003F05EE"/>
    <w:rsid w:val="00415D13"/>
    <w:rsid w:val="004633F6"/>
    <w:rsid w:val="00467B1E"/>
    <w:rsid w:val="004812B3"/>
    <w:rsid w:val="004866F4"/>
    <w:rsid w:val="004949F9"/>
    <w:rsid w:val="004B4F73"/>
    <w:rsid w:val="004C54A5"/>
    <w:rsid w:val="004C5EDE"/>
    <w:rsid w:val="004E506E"/>
    <w:rsid w:val="004E5C46"/>
    <w:rsid w:val="004F12F6"/>
    <w:rsid w:val="004F146D"/>
    <w:rsid w:val="00514155"/>
    <w:rsid w:val="00521B8A"/>
    <w:rsid w:val="0059405A"/>
    <w:rsid w:val="005A2DF4"/>
    <w:rsid w:val="005E4A1E"/>
    <w:rsid w:val="005F45D6"/>
    <w:rsid w:val="005F6397"/>
    <w:rsid w:val="006011A5"/>
    <w:rsid w:val="00610B89"/>
    <w:rsid w:val="00611931"/>
    <w:rsid w:val="00613A5B"/>
    <w:rsid w:val="0066263D"/>
    <w:rsid w:val="006A3D3E"/>
    <w:rsid w:val="00700239"/>
    <w:rsid w:val="00710449"/>
    <w:rsid w:val="0072471F"/>
    <w:rsid w:val="00732986"/>
    <w:rsid w:val="00757523"/>
    <w:rsid w:val="007650B3"/>
    <w:rsid w:val="0077792E"/>
    <w:rsid w:val="007A4D52"/>
    <w:rsid w:val="007E682A"/>
    <w:rsid w:val="007F13E7"/>
    <w:rsid w:val="007F7E9D"/>
    <w:rsid w:val="00801E0D"/>
    <w:rsid w:val="00803AC4"/>
    <w:rsid w:val="00804A25"/>
    <w:rsid w:val="00807390"/>
    <w:rsid w:val="008121E9"/>
    <w:rsid w:val="00831C6B"/>
    <w:rsid w:val="00832C29"/>
    <w:rsid w:val="00864463"/>
    <w:rsid w:val="00865DE6"/>
    <w:rsid w:val="008669FF"/>
    <w:rsid w:val="00883051"/>
    <w:rsid w:val="00893C64"/>
    <w:rsid w:val="00897C33"/>
    <w:rsid w:val="008A6469"/>
    <w:rsid w:val="008C01B9"/>
    <w:rsid w:val="008C37BF"/>
    <w:rsid w:val="008D086C"/>
    <w:rsid w:val="00902E51"/>
    <w:rsid w:val="0090694F"/>
    <w:rsid w:val="009138B5"/>
    <w:rsid w:val="0094303A"/>
    <w:rsid w:val="00966D7F"/>
    <w:rsid w:val="0097023F"/>
    <w:rsid w:val="00970ED1"/>
    <w:rsid w:val="0097557F"/>
    <w:rsid w:val="00980C55"/>
    <w:rsid w:val="00982F06"/>
    <w:rsid w:val="009925BC"/>
    <w:rsid w:val="009B036B"/>
    <w:rsid w:val="009C7227"/>
    <w:rsid w:val="00A03AF0"/>
    <w:rsid w:val="00A03B48"/>
    <w:rsid w:val="00A0552F"/>
    <w:rsid w:val="00A219AA"/>
    <w:rsid w:val="00A25EBA"/>
    <w:rsid w:val="00A57B4D"/>
    <w:rsid w:val="00A6233D"/>
    <w:rsid w:val="00A651F1"/>
    <w:rsid w:val="00A77558"/>
    <w:rsid w:val="00A828F4"/>
    <w:rsid w:val="00A92149"/>
    <w:rsid w:val="00A9260F"/>
    <w:rsid w:val="00AB4F02"/>
    <w:rsid w:val="00AD71A3"/>
    <w:rsid w:val="00AE3253"/>
    <w:rsid w:val="00AE51C5"/>
    <w:rsid w:val="00B0338E"/>
    <w:rsid w:val="00B05EA3"/>
    <w:rsid w:val="00B12471"/>
    <w:rsid w:val="00B13E01"/>
    <w:rsid w:val="00B323AA"/>
    <w:rsid w:val="00B37677"/>
    <w:rsid w:val="00B40754"/>
    <w:rsid w:val="00B465F9"/>
    <w:rsid w:val="00BB4E1D"/>
    <w:rsid w:val="00BB6180"/>
    <w:rsid w:val="00BE3202"/>
    <w:rsid w:val="00BF44D7"/>
    <w:rsid w:val="00BF4F8F"/>
    <w:rsid w:val="00C14975"/>
    <w:rsid w:val="00C225E5"/>
    <w:rsid w:val="00C259BB"/>
    <w:rsid w:val="00C36175"/>
    <w:rsid w:val="00C65CD3"/>
    <w:rsid w:val="00C814E0"/>
    <w:rsid w:val="00C9375C"/>
    <w:rsid w:val="00C96279"/>
    <w:rsid w:val="00CA3A16"/>
    <w:rsid w:val="00CA471F"/>
    <w:rsid w:val="00CB0D42"/>
    <w:rsid w:val="00CC26A2"/>
    <w:rsid w:val="00CC46C2"/>
    <w:rsid w:val="00CF381B"/>
    <w:rsid w:val="00D118C1"/>
    <w:rsid w:val="00D14953"/>
    <w:rsid w:val="00D272E3"/>
    <w:rsid w:val="00D432BD"/>
    <w:rsid w:val="00D44590"/>
    <w:rsid w:val="00D56D2A"/>
    <w:rsid w:val="00D614E1"/>
    <w:rsid w:val="00D658C7"/>
    <w:rsid w:val="00D93D78"/>
    <w:rsid w:val="00DA0795"/>
    <w:rsid w:val="00DB7254"/>
    <w:rsid w:val="00DB737D"/>
    <w:rsid w:val="00DC695B"/>
    <w:rsid w:val="00DC6B81"/>
    <w:rsid w:val="00DE3CCF"/>
    <w:rsid w:val="00DE7CEC"/>
    <w:rsid w:val="00DF47DD"/>
    <w:rsid w:val="00E044DF"/>
    <w:rsid w:val="00E13A1B"/>
    <w:rsid w:val="00E25FAF"/>
    <w:rsid w:val="00E41F23"/>
    <w:rsid w:val="00E4354E"/>
    <w:rsid w:val="00E54E55"/>
    <w:rsid w:val="00E56E8A"/>
    <w:rsid w:val="00E635C4"/>
    <w:rsid w:val="00E63C13"/>
    <w:rsid w:val="00E82093"/>
    <w:rsid w:val="00E82738"/>
    <w:rsid w:val="00E97515"/>
    <w:rsid w:val="00E9783D"/>
    <w:rsid w:val="00EB18DA"/>
    <w:rsid w:val="00EB3F2E"/>
    <w:rsid w:val="00EB46FC"/>
    <w:rsid w:val="00EC5BA1"/>
    <w:rsid w:val="00ED044E"/>
    <w:rsid w:val="00EE2A7C"/>
    <w:rsid w:val="00EE30AD"/>
    <w:rsid w:val="00F10313"/>
    <w:rsid w:val="00F15ECA"/>
    <w:rsid w:val="00F1745B"/>
    <w:rsid w:val="00F233E1"/>
    <w:rsid w:val="00F472DE"/>
    <w:rsid w:val="00F52F25"/>
    <w:rsid w:val="00F54A0F"/>
    <w:rsid w:val="00F63C61"/>
    <w:rsid w:val="00F76376"/>
    <w:rsid w:val="00F86C9E"/>
    <w:rsid w:val="00F93D44"/>
    <w:rsid w:val="00FA0807"/>
    <w:rsid w:val="00FA089E"/>
    <w:rsid w:val="00FC32C1"/>
    <w:rsid w:val="00FD3D8A"/>
    <w:rsid w:val="00FD6808"/>
    <w:rsid w:val="00FD72AB"/>
    <w:rsid w:val="00FE0702"/>
    <w:rsid w:val="00FF15CE"/>
    <w:rsid w:val="00FF17E6"/>
    <w:rsid w:val="00FF2875"/>
    <w:rsid w:val="00FF7750"/>
    <w:rsid w:val="038D04F8"/>
    <w:rsid w:val="07B062FA"/>
    <w:rsid w:val="0B2402CD"/>
    <w:rsid w:val="10C74644"/>
    <w:rsid w:val="116555B4"/>
    <w:rsid w:val="15B311B3"/>
    <w:rsid w:val="17130995"/>
    <w:rsid w:val="18186E8E"/>
    <w:rsid w:val="191E6359"/>
    <w:rsid w:val="19D43447"/>
    <w:rsid w:val="1AC62333"/>
    <w:rsid w:val="1DC21506"/>
    <w:rsid w:val="1EE779C6"/>
    <w:rsid w:val="231863E8"/>
    <w:rsid w:val="24435CF8"/>
    <w:rsid w:val="26D952D0"/>
    <w:rsid w:val="27860A00"/>
    <w:rsid w:val="28B12512"/>
    <w:rsid w:val="2A8C3755"/>
    <w:rsid w:val="2AD22C76"/>
    <w:rsid w:val="32096D1A"/>
    <w:rsid w:val="349724B3"/>
    <w:rsid w:val="3CE34F51"/>
    <w:rsid w:val="3CE87FD4"/>
    <w:rsid w:val="45247B3A"/>
    <w:rsid w:val="4AFD2A7E"/>
    <w:rsid w:val="4C7E5074"/>
    <w:rsid w:val="4D26072B"/>
    <w:rsid w:val="4D5437D6"/>
    <w:rsid w:val="4F021A1E"/>
    <w:rsid w:val="4F467828"/>
    <w:rsid w:val="53FE27BF"/>
    <w:rsid w:val="554738FF"/>
    <w:rsid w:val="55B12EF3"/>
    <w:rsid w:val="570B506D"/>
    <w:rsid w:val="570C640B"/>
    <w:rsid w:val="591A6EAC"/>
    <w:rsid w:val="59AB2377"/>
    <w:rsid w:val="5A15382A"/>
    <w:rsid w:val="5AEF2067"/>
    <w:rsid w:val="5B644E70"/>
    <w:rsid w:val="5BE14278"/>
    <w:rsid w:val="5C84148E"/>
    <w:rsid w:val="60CF27EC"/>
    <w:rsid w:val="643D3DD3"/>
    <w:rsid w:val="65074C1F"/>
    <w:rsid w:val="67497027"/>
    <w:rsid w:val="6B5B7DF4"/>
    <w:rsid w:val="726A1E31"/>
    <w:rsid w:val="73183FC2"/>
    <w:rsid w:val="73B3379E"/>
    <w:rsid w:val="759E5A6D"/>
    <w:rsid w:val="76742B39"/>
    <w:rsid w:val="76F22E67"/>
    <w:rsid w:val="7DFC48FD"/>
    <w:rsid w:val="7E404B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uiPriority="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semiHidden="0" w:uiPriority="0" w:unhideWhenUsed="0" w:qFormat="1"/>
    <w:lsdException w:name="Normal Table" w:semiHidden="0" w:qFormat="1"/>
    <w:lsdException w:name="Balloon Text" w:semiHidden="0"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014"/>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082014"/>
    <w:rPr>
      <w:rFonts w:asciiTheme="minorHAnsi" w:eastAsiaTheme="minorEastAsia" w:hAnsiTheme="minorHAnsi" w:cstheme="minorBidi"/>
      <w:sz w:val="18"/>
      <w:szCs w:val="18"/>
    </w:rPr>
  </w:style>
  <w:style w:type="paragraph" w:styleId="a4">
    <w:name w:val="footer"/>
    <w:basedOn w:val="a"/>
    <w:link w:val="Char0"/>
    <w:unhideWhenUsed/>
    <w:qFormat/>
    <w:rsid w:val="00082014"/>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nhideWhenUsed/>
    <w:qFormat/>
    <w:rsid w:val="000820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HTML">
    <w:name w:val="HTML Preformatted"/>
    <w:basedOn w:val="a"/>
    <w:link w:val="HTMLChar"/>
    <w:qFormat/>
    <w:rsid w:val="0008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6">
    <w:name w:val="Normal (Web)"/>
    <w:basedOn w:val="a"/>
    <w:qFormat/>
    <w:rsid w:val="00082014"/>
    <w:pPr>
      <w:jc w:val="left"/>
    </w:pPr>
    <w:rPr>
      <w:kern w:val="0"/>
      <w:sz w:val="24"/>
    </w:rPr>
  </w:style>
  <w:style w:type="table" w:styleId="a7">
    <w:name w:val="Table Grid"/>
    <w:basedOn w:val="a1"/>
    <w:qFormat/>
    <w:rsid w:val="00082014"/>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qFormat/>
    <w:rsid w:val="00082014"/>
    <w:rPr>
      <w:sz w:val="18"/>
      <w:szCs w:val="18"/>
    </w:rPr>
  </w:style>
  <w:style w:type="character" w:customStyle="1" w:styleId="Char0">
    <w:name w:val="页脚 Char"/>
    <w:basedOn w:val="a0"/>
    <w:link w:val="a4"/>
    <w:qFormat/>
    <w:rsid w:val="00082014"/>
    <w:rPr>
      <w:sz w:val="18"/>
      <w:szCs w:val="18"/>
    </w:rPr>
  </w:style>
  <w:style w:type="character" w:customStyle="1" w:styleId="Char">
    <w:name w:val="批注框文本 Char"/>
    <w:link w:val="a3"/>
    <w:qFormat/>
    <w:rsid w:val="00082014"/>
    <w:rPr>
      <w:sz w:val="18"/>
      <w:szCs w:val="18"/>
    </w:rPr>
  </w:style>
  <w:style w:type="character" w:customStyle="1" w:styleId="Char10">
    <w:name w:val="批注框文本 Char1"/>
    <w:basedOn w:val="a0"/>
    <w:uiPriority w:val="99"/>
    <w:semiHidden/>
    <w:qFormat/>
    <w:rsid w:val="00082014"/>
    <w:rPr>
      <w:rFonts w:ascii="Times New Roman" w:eastAsia="宋体" w:hAnsi="Times New Roman" w:cs="Times New Roman"/>
      <w:sz w:val="18"/>
      <w:szCs w:val="18"/>
    </w:rPr>
  </w:style>
  <w:style w:type="paragraph" w:customStyle="1" w:styleId="0">
    <w:name w:val="需求正文_0"/>
    <w:basedOn w:val="a"/>
    <w:qFormat/>
    <w:rsid w:val="00082014"/>
    <w:pPr>
      <w:topLinePunct/>
      <w:ind w:firstLine="200"/>
    </w:pPr>
    <w:rPr>
      <w:kern w:val="20"/>
      <w:sz w:val="20"/>
      <w:szCs w:val="20"/>
    </w:rPr>
  </w:style>
  <w:style w:type="paragraph" w:customStyle="1" w:styleId="c">
    <w:name w:val="c"/>
    <w:basedOn w:val="a"/>
    <w:qFormat/>
    <w:rsid w:val="00082014"/>
    <w:pPr>
      <w:spacing w:line="380" w:lineRule="atLeast"/>
      <w:jc w:val="center"/>
    </w:pPr>
    <w:rPr>
      <w:color w:val="999999"/>
      <w:kern w:val="0"/>
      <w:sz w:val="14"/>
      <w:szCs w:val="14"/>
    </w:rPr>
  </w:style>
  <w:style w:type="character" w:customStyle="1" w:styleId="HTMLChar">
    <w:name w:val="HTML 预设格式 Char"/>
    <w:basedOn w:val="a0"/>
    <w:link w:val="HTML"/>
    <w:qFormat/>
    <w:rsid w:val="00082014"/>
    <w:rPr>
      <w:rFonts w:ascii="宋体" w:eastAsia="宋体" w:hAnsi="宋体"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undefined</dc:creator>
  <cp:lastModifiedBy>唐琳</cp:lastModifiedBy>
  <cp:revision>150</cp:revision>
  <cp:lastPrinted>2020-01-16T04:09:00Z</cp:lastPrinted>
  <dcterms:created xsi:type="dcterms:W3CDTF">2020-01-14T11:54:00Z</dcterms:created>
  <dcterms:modified xsi:type="dcterms:W3CDTF">2020-06-03T07:42:00Z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