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color w:val="5B6675"/>
          <w:sz w:val="18"/>
        </w:rPr>
        <w:t>KOICA 필리핀 루존지역 부카스센터 긴급 외래 진료 및 진단검사 역량강화 사업 — PMC</w:t>
      </w:r>
    </w:p>
    <w:p>
      <w:pPr>
        <w:spacing w:after="200"/>
        <w:jc w:val="center"/>
      </w:pPr>
      <w:r>
        <w:rPr>
          <w:rFonts w:ascii="맑은 고딕" w:hAnsi="맑은 고딕" w:eastAsia="맑은 고딕"/>
          <w:b/>
          <w:color w:val="1F4E9C"/>
          <w:sz w:val="40"/>
        </w:rPr>
        <w:t>회 의 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EEF2F9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sz w:val="20"/>
              </w:rPr>
              <w:t>회의명</w:t>
            </w:r>
          </w:p>
        </w:tc>
        <w:tc>
          <w:tcPr>
            <w:tcW w:type="dxa" w:w="7030"/>
          </w:tcPr>
          <w:p>
            <w:pPr>
              <w:spacing w:before="60" w:after="60"/>
            </w:pPr>
          </w:p>
        </w:tc>
      </w:tr>
      <w:tr>
        <w:tc>
          <w:tcPr>
            <w:tcW w:type="dxa" w:w="2381"/>
            <w:shd w:val="clear" w:color="auto" w:fill="EEF2F9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sz w:val="20"/>
              </w:rPr>
              <w:t>회의일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8A97A8"/>
                <w:sz w:val="16"/>
              </w:rPr>
              <w:t>예: 2026-10-15</w:t>
            </w:r>
          </w:p>
        </w:tc>
        <w:tc>
          <w:tcPr>
            <w:tcW w:type="dxa" w:w="7030"/>
          </w:tcPr>
          <w:p>
            <w:pPr>
              <w:spacing w:before="60" w:after="60"/>
            </w:pPr>
          </w:p>
        </w:tc>
      </w:tr>
      <w:tr>
        <w:tc>
          <w:tcPr>
            <w:tcW w:type="dxa" w:w="2381"/>
            <w:shd w:val="clear" w:color="auto" w:fill="EEF2F9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sz w:val="20"/>
              </w:rPr>
              <w:t>시각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8A97A8"/>
                <w:sz w:val="16"/>
              </w:rPr>
              <w:t>예: 14:00</w:t>
            </w:r>
          </w:p>
        </w:tc>
        <w:tc>
          <w:tcPr>
            <w:tcW w:type="dxa" w:w="7030"/>
          </w:tcPr>
          <w:p>
            <w:pPr>
              <w:spacing w:before="60" w:after="60"/>
            </w:pPr>
          </w:p>
        </w:tc>
      </w:tr>
      <w:tr>
        <w:tc>
          <w:tcPr>
            <w:tcW w:type="dxa" w:w="2381"/>
            <w:shd w:val="clear" w:color="auto" w:fill="EEF2F9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sz w:val="20"/>
              </w:rPr>
              <w:t>장소</w:t>
            </w:r>
          </w:p>
        </w:tc>
        <w:tc>
          <w:tcPr>
            <w:tcW w:type="dxa" w:w="7030"/>
          </w:tcPr>
          <w:p>
            <w:pPr>
              <w:spacing w:before="60" w:after="60"/>
            </w:pPr>
          </w:p>
        </w:tc>
      </w:tr>
      <w:tr>
        <w:tc>
          <w:tcPr>
            <w:tcW w:type="dxa" w:w="2381"/>
            <w:shd w:val="clear" w:color="auto" w:fill="EEF2F9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sz w:val="20"/>
              </w:rPr>
              <w:t>대분류 (Activity)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8A97A8"/>
                <w:sz w:val="16"/>
              </w:rPr>
              <w:t>활동 번호 또는 이름. 예: 1.1.1 또는 부카스센터 기자재 지원</w:t>
            </w:r>
          </w:p>
        </w:tc>
        <w:tc>
          <w:tcPr>
            <w:tcW w:type="dxa" w:w="7030"/>
          </w:tcPr>
          <w:p>
            <w:pPr>
              <w:spacing w:before="60" w:after="60"/>
            </w:pPr>
          </w:p>
        </w:tc>
      </w:tr>
      <w:tr>
        <w:tc>
          <w:tcPr>
            <w:tcW w:type="dxa" w:w="2381"/>
            <w:shd w:val="clear" w:color="auto" w:fill="EEF2F9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sz w:val="20"/>
              </w:rPr>
              <w:t>중분류 (구분)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8A97A8"/>
                <w:sz w:val="16"/>
              </w:rPr>
              <w:t>내부회의 또는 외부회의</w:t>
            </w:r>
          </w:p>
        </w:tc>
        <w:tc>
          <w:tcPr>
            <w:tcW w:type="dxa" w:w="7030"/>
          </w:tcPr>
          <w:p>
            <w:pPr>
              <w:spacing w:before="60" w:after="60"/>
            </w:pPr>
          </w:p>
        </w:tc>
      </w:tr>
      <w:tr>
        <w:tc>
          <w:tcPr>
            <w:tcW w:type="dxa" w:w="2381"/>
            <w:shd w:val="clear" w:color="auto" w:fill="EEF2F9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sz w:val="20"/>
              </w:rPr>
              <w:t>소분류 (이해관계기관)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8A97A8"/>
                <w:sz w:val="16"/>
              </w:rPr>
              <w:t>외부회의일 때 상대 기관. 예: DOH KMITS</w:t>
            </w:r>
          </w:p>
        </w:tc>
        <w:tc>
          <w:tcPr>
            <w:tcW w:type="dxa" w:w="7030"/>
          </w:tcPr>
          <w:p>
            <w:pPr>
              <w:spacing w:before="60" w:after="60"/>
            </w:pPr>
          </w:p>
        </w:tc>
      </w:tr>
      <w:tr>
        <w:tc>
          <w:tcPr>
            <w:tcW w:type="dxa" w:w="2381"/>
            <w:shd w:val="clear" w:color="auto" w:fill="EEF2F9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sz w:val="20"/>
              </w:rPr>
              <w:t>참석자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8A97A8"/>
                <w:sz w:val="16"/>
              </w:rPr>
              <w:t>이름(소속)을 쉼표로 구분</w:t>
            </w:r>
          </w:p>
        </w:tc>
        <w:tc>
          <w:tcPr>
            <w:tcW w:type="dxa" w:w="7030"/>
          </w:tcPr>
          <w:p>
            <w:pPr>
              <w:spacing w:before="60" w:after="60"/>
            </w:pPr>
          </w:p>
        </w:tc>
      </w:tr>
      <w:tr>
        <w:tc>
          <w:tcPr>
            <w:tcW w:type="dxa" w:w="2381"/>
            <w:shd w:val="clear" w:color="auto" w:fill="EEF2F9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sz w:val="20"/>
              </w:rPr>
              <w:t>작성자</w:t>
            </w:r>
          </w:p>
        </w:tc>
        <w:tc>
          <w:tcPr>
            <w:tcW w:type="dxa" w:w="7030"/>
          </w:tcPr>
          <w:p>
            <w:pPr>
              <w:spacing w:before="60" w:after="60"/>
            </w:pPr>
          </w:p>
        </w:tc>
      </w:tr>
      <w:tr>
        <w:tc>
          <w:tcPr>
            <w:tcW w:type="dxa" w:w="2381"/>
            <w:shd w:val="clear" w:color="auto" w:fill="EEF2F9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sz w:val="20"/>
              </w:rPr>
              <w:t>회의 주요 안건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8A97A8"/>
                <w:sz w:val="16"/>
              </w:rPr>
              <w:t>한 줄에 하나씩</w:t>
            </w:r>
          </w:p>
        </w:tc>
        <w:tc>
          <w:tcPr>
            <w:tcW w:type="dxa" w:w="7030"/>
          </w:tcPr>
          <w:p>
            <w:pPr>
              <w:spacing w:before="60" w:after="60"/>
            </w:pPr>
          </w:p>
          <w:p/>
          <w:p/>
          <w:p/>
          <w:p/>
          <w:p/>
          <w:p/>
        </w:tc>
      </w:tr>
      <w:tr>
        <w:tc>
          <w:tcPr>
            <w:tcW w:type="dxa" w:w="2381"/>
            <w:shd w:val="clear" w:color="auto" w:fill="EEF2F9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sz w:val="20"/>
              </w:rPr>
              <w:t>회의 결과 요약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8A97A8"/>
                <w:sz w:val="16"/>
              </w:rPr>
              <w:t>결정 사항과 논의 결과를 한 줄에 하나씩</w:t>
            </w:r>
          </w:p>
        </w:tc>
        <w:tc>
          <w:tcPr>
            <w:tcW w:type="dxa" w:w="7030"/>
          </w:tcPr>
          <w:p>
            <w:pPr>
              <w:spacing w:before="60" w:after="60"/>
            </w:pPr>
          </w:p>
          <w:p/>
          <w:p/>
          <w:p/>
          <w:p/>
          <w:p/>
          <w:p/>
          <w:p/>
          <w:p/>
          <w:p/>
        </w:tc>
      </w:tr>
    </w:tbl>
    <w:p>
      <w:pPr>
        <w:spacing w:before="280" w:after="80"/>
      </w:pPr>
      <w:r>
        <w:rPr>
          <w:rFonts w:ascii="맑은 고딕" w:hAnsi="맑은 고딕" w:eastAsia="맑은 고딕"/>
          <w:b/>
          <w:color w:val="1F4E9C"/>
          <w:sz w:val="26"/>
        </w:rPr>
        <w:t>후속조치사항</w:t>
      </w:r>
    </w:p>
    <w:p>
      <w:pPr>
        <w:spacing w:after="80"/>
      </w:pPr>
      <w:r>
        <w:rPr>
          <w:rFonts w:ascii="맑은 고딕" w:hAnsi="맑은 고딕" w:eastAsia="맑은 고딕"/>
          <w:color w:val="8A97A8"/>
          <w:sz w:val="18"/>
        </w:rPr>
        <w:t>※ 한 줄에 조치 하나. 기한은 2026-10-31 처럼 적으면 대쉬보드가 챙깁니다. 줄은 더 늘려도 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69"/>
        <w:gridCol w:w="2041"/>
        <w:gridCol w:w="1701"/>
      </w:tblGrid>
      <w:tr>
        <w:tc>
          <w:tcPr>
            <w:tcW w:type="dxa" w:w="5669"/>
            <w:shd w:val="clear" w:color="auto" w:fill="EEF2F9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sz w:val="20"/>
              </w:rPr>
              <w:t>조치 내용</w:t>
            </w:r>
          </w:p>
        </w:tc>
        <w:tc>
          <w:tcPr>
            <w:tcW w:type="dxa" w:w="2041"/>
            <w:shd w:val="clear" w:color="auto" w:fill="EEF2F9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sz w:val="20"/>
              </w:rPr>
              <w:t>담당</w:t>
            </w:r>
          </w:p>
        </w:tc>
        <w:tc>
          <w:tcPr>
            <w:tcW w:type="dxa" w:w="1701"/>
            <w:shd w:val="clear" w:color="auto" w:fill="EEF2F9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sz w:val="20"/>
              </w:rPr>
              <w:t>기한</w:t>
            </w:r>
          </w:p>
        </w:tc>
      </w:tr>
      <w:tr>
        <w:tc>
          <w:tcPr>
            <w:tcW w:type="dxa" w:w="5669"/>
          </w:tcPr>
          <w:p>
            <w:pPr>
              <w:spacing w:before="80" w:after="80"/>
            </w:pPr>
          </w:p>
        </w:tc>
        <w:tc>
          <w:tcPr>
            <w:tcW w:type="dxa" w:w="2041"/>
          </w:tcPr>
          <w:p>
            <w:pPr>
              <w:spacing w:before="80" w:after="80"/>
            </w:pPr>
          </w:p>
        </w:tc>
        <w:tc>
          <w:tcPr>
            <w:tcW w:type="dxa" w:w="1701"/>
          </w:tcPr>
          <w:p>
            <w:pPr>
              <w:spacing w:before="80" w:after="80"/>
            </w:pPr>
          </w:p>
        </w:tc>
      </w:tr>
      <w:tr>
        <w:tc>
          <w:tcPr>
            <w:tcW w:type="dxa" w:w="5669"/>
          </w:tcPr>
          <w:p>
            <w:pPr>
              <w:spacing w:before="80" w:after="80"/>
            </w:pPr>
          </w:p>
        </w:tc>
        <w:tc>
          <w:tcPr>
            <w:tcW w:type="dxa" w:w="2041"/>
          </w:tcPr>
          <w:p>
            <w:pPr>
              <w:spacing w:before="80" w:after="80"/>
            </w:pPr>
          </w:p>
        </w:tc>
        <w:tc>
          <w:tcPr>
            <w:tcW w:type="dxa" w:w="1701"/>
          </w:tcPr>
          <w:p>
            <w:pPr>
              <w:spacing w:before="80" w:after="80"/>
            </w:pPr>
          </w:p>
        </w:tc>
      </w:tr>
      <w:tr>
        <w:tc>
          <w:tcPr>
            <w:tcW w:type="dxa" w:w="5669"/>
          </w:tcPr>
          <w:p>
            <w:pPr>
              <w:spacing w:before="80" w:after="80"/>
            </w:pPr>
          </w:p>
        </w:tc>
        <w:tc>
          <w:tcPr>
            <w:tcW w:type="dxa" w:w="2041"/>
          </w:tcPr>
          <w:p>
            <w:pPr>
              <w:spacing w:before="80" w:after="80"/>
            </w:pPr>
          </w:p>
        </w:tc>
        <w:tc>
          <w:tcPr>
            <w:tcW w:type="dxa" w:w="1701"/>
          </w:tcPr>
          <w:p>
            <w:pPr>
              <w:spacing w:before="80" w:after="80"/>
            </w:pPr>
          </w:p>
        </w:tc>
      </w:tr>
      <w:tr>
        <w:tc>
          <w:tcPr>
            <w:tcW w:type="dxa" w:w="5669"/>
          </w:tcPr>
          <w:p>
            <w:pPr>
              <w:spacing w:before="80" w:after="80"/>
            </w:pPr>
          </w:p>
        </w:tc>
        <w:tc>
          <w:tcPr>
            <w:tcW w:type="dxa" w:w="2041"/>
          </w:tcPr>
          <w:p>
            <w:pPr>
              <w:spacing w:before="80" w:after="80"/>
            </w:pPr>
          </w:p>
        </w:tc>
        <w:tc>
          <w:tcPr>
            <w:tcW w:type="dxa" w:w="1701"/>
          </w:tcPr>
          <w:p>
            <w:pPr>
              <w:spacing w:before="80" w:after="80"/>
            </w:pPr>
          </w:p>
        </w:tc>
      </w:tr>
      <w:tr>
        <w:tc>
          <w:tcPr>
            <w:tcW w:type="dxa" w:w="5669"/>
          </w:tcPr>
          <w:p>
            <w:pPr>
              <w:spacing w:before="80" w:after="80"/>
            </w:pPr>
          </w:p>
        </w:tc>
        <w:tc>
          <w:tcPr>
            <w:tcW w:type="dxa" w:w="2041"/>
          </w:tcPr>
          <w:p>
            <w:pPr>
              <w:spacing w:before="80" w:after="80"/>
            </w:pPr>
          </w:p>
        </w:tc>
        <w:tc>
          <w:tcPr>
            <w:tcW w:type="dxa" w:w="1701"/>
          </w:tcPr>
          <w:p>
            <w:pPr>
              <w:spacing w:before="80" w:after="80"/>
            </w:pPr>
          </w:p>
        </w:tc>
      </w:tr>
      <w:tr>
        <w:tc>
          <w:tcPr>
            <w:tcW w:type="dxa" w:w="5669"/>
          </w:tcPr>
          <w:p>
            <w:pPr>
              <w:spacing w:before="80" w:after="80"/>
            </w:pPr>
          </w:p>
        </w:tc>
        <w:tc>
          <w:tcPr>
            <w:tcW w:type="dxa" w:w="2041"/>
          </w:tcPr>
          <w:p>
            <w:pPr>
              <w:spacing w:before="80" w:after="80"/>
            </w:pPr>
          </w:p>
        </w:tc>
        <w:tc>
          <w:tcPr>
            <w:tcW w:type="dxa" w:w="1701"/>
          </w:tcPr>
          <w:p>
            <w:pPr>
              <w:spacing w:before="80" w:after="80"/>
            </w:pPr>
          </w:p>
        </w:tc>
      </w:tr>
    </w:tbl>
    <w:p>
      <w:pPr>
        <w:spacing w:before="360"/>
      </w:pPr>
      <w:r>
        <w:rPr>
          <w:rFonts w:ascii="맑은 고딕" w:hAnsi="맑은 고딕" w:eastAsia="맑은 고딕"/>
          <w:b/>
          <w:color w:val="5B6675"/>
          <w:sz w:val="20"/>
        </w:rPr>
        <w:t>작성 안내 (이 부분은 지워도 됩니다)</w:t>
      </w:r>
    </w:p>
    <w:p>
      <w:pPr>
        <w:spacing w:after="20"/>
      </w:pPr>
      <w:r>
        <w:rPr>
          <w:rFonts w:ascii="맑은 고딕" w:hAnsi="맑은 고딕" w:eastAsia="맑은 고딕"/>
          <w:color w:val="5B6675"/>
          <w:sz w:val="18"/>
        </w:rPr>
        <w:t>· 녹음을 글로 옮긴 뒤 AI에게 "이 양식의 각 칸에 맞춰 정리해 줘" 하고 Word 파일로 받으면 됩니다.</w:t>
      </w:r>
    </w:p>
    <w:p>
      <w:pPr>
        <w:spacing w:after="20"/>
      </w:pPr>
      <w:r>
        <w:rPr>
          <w:rFonts w:ascii="맑은 고딕" w:hAnsi="맑은 고딕" w:eastAsia="맑은 고딕"/>
          <w:color w:val="5B6675"/>
          <w:sz w:val="18"/>
        </w:rPr>
        <w:t>· 표의 왼쪽 칸(항목 이름)은 그대로 두고 오른쪽 칸만 채웁니다. 항목 순서가 바뀌어도, 줄이 늘어나도 읽힙니다.</w:t>
      </w:r>
    </w:p>
    <w:p>
      <w:pPr>
        <w:spacing w:after="20"/>
      </w:pPr>
      <w:r>
        <w:rPr>
          <w:rFonts w:ascii="맑은 고딕" w:hAnsi="맑은 고딕" w:eastAsia="맑은 고딕"/>
          <w:color w:val="5B6675"/>
          <w:sz w:val="18"/>
        </w:rPr>
        <w:t>· 채운 파일을 KOICA AI 성과관리 › 4. 사업관리 › 회의록·후속조치 › [회의록 추가] › [양식 업로드 (자동 채우기)] 에 올리세요.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