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 Unicode MS" w:cs="Calibri" w:eastAsia="Arial Unicode MS" w:hAnsi="Arial Unicode MS"/>
          <w:b/>
          <w:bCs/>
          <w:color w:val="1B2B3C"/>
          <w:sz w:val="56"/>
          <w:szCs w:val="56"/>
        </w:rPr>
        <w:t xml:space="preserve">KOL 合作管理平台</w:t>
      </w:r>
    </w:p>
    <w:p>
      <w:pPr>
        <w:spacing w:after="60" w:before="0"/>
        <w:jc w:val="center"/>
      </w:pPr>
      <w:r>
        <w:rPr>
          <w:rFonts w:ascii="Arial Unicode MS" w:cs="Calibri" w:eastAsia="Arial Unicode MS" w:hAnsi="Arial Unicode MS"/>
          <w:color w:val="0D9488"/>
          <w:sz w:val="28"/>
          <w:szCs w:val="28"/>
        </w:rPr>
        <w:t xml:space="preserve">欧洲车企出海版 · 评估模型完整说明</w:t>
      </w:r>
    </w:p>
    <w:p>
      <w:pPr>
        <w:spacing w:after="400" w:before="0"/>
        <w:jc w:val="center"/>
      </w:pPr>
      <w:r>
        <w:rPr>
          <w:rFonts w:ascii="Arial Unicode MS" w:cs="Calibri" w:eastAsia="Arial Unicode MS" w:hAnsi="Arial Unicode MS"/>
          <w:color w:val="6B7280"/>
          <w:sz w:val="22"/>
          <w:szCs w:val="22"/>
        </w:rPr>
        <w:t xml:space="preserve">英国 / 法国 / 德国市场 · v3.0</w:t>
      </w:r>
    </w:p>
    <w:p>
      <w:pPr>
        <w:pBdr>
          <w:bottom w:val="single" w:color="E2E8F0" w:sz="6"/>
        </w:pBdr>
        <w:spacing w:after="20" w:before="20"/>
      </w:pP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一、平台概述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本平台专为中国车企出海欧洲场景设计，聚焦英、法、德三大市场的 KOL 合作全生命周期管理。平台集成两套独立评分模型，系统化量化评估每位 KOL，帮助团队「选人有据、合作有序、风险可控、效果可追」。</w:t>
      </w:r>
    </w:p>
    <w:p>
      <w:pPr>
        <w:pStyle w:val="Heading2"/>
      </w:pPr>
      <w:r>
        <w:rPr>
          <w:rFonts w:ascii="Arial Unicode MS" w:hAnsi="Arial Unicode MS" w:eastAsia="Arial Unicode MS"/>
          <w:sz w:val="21"/>
        </w:rPr>
        <w:t>桌面协作与数据架构</w:t>
      </w:r>
    </w:p>
    <w:p>
      <w:r>
        <w:rPr>
          <w:rFonts w:ascii="Arial Unicode MS" w:hAnsi="Arial Unicode MS" w:eastAsia="Arial Unicode MS"/>
          <w:sz w:val="21"/>
        </w:rPr>
        <w:t>v3.0 桌面版支持 macOS 与 Windows，采用本地优先架构：SQLite 保证断网可用，联网后通过同步队列与 Supabase 自动共享团队数据。YouTube、Reddit、TikTok 采集结果统一进入评估流程；API 密钥仅保存在 macOS Keychain 或 Windows Credential Manager 系统凭据库。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9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商业价值评分模型</w:t>
            </w:r>
          </w:p>
        </w:tc>
        <w:tc>
          <w:tcPr>
            <w:tcW w:type="dxa" w:w="69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评估 KOL 能为品牌带来多大商业回报，共 7 个维度，满分 100 分</w:t>
            </w:r>
          </w:p>
        </w:tc>
      </w:tr>
      <w:tr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风险评分模型</w:t>
            </w:r>
          </w:p>
        </w:tc>
        <w:tc>
          <w:tcPr>
            <w:tcW w:type="dxa" w:w="69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识别合作中潜在的品牌、法律、流量风险，共 8 个维度，分数越高风险越大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1D4ED8"/>
                <w:sz w:val="20"/>
                <w:szCs w:val="20"/>
              </w:rPr>
              <w:t xml:space="preserve">YouTube API 接入</w:t>
            </w:r>
          </w:p>
        </w:tc>
        <w:tc>
          <w:tcPr>
            <w:tcW w:type="dxa" w:w="69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自动抓取订阅数、平均播放量、互动率 ERR 等数据，减少人工录入</w:t>
            </w:r>
          </w:p>
        </w:tc>
      </w:tr>
      <w:tr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CLM 全流程管理</w:t>
            </w:r>
          </w:p>
        </w:tc>
        <w:tc>
          <w:tcPr>
            <w:tcW w:type="dxa" w:w="69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覆盖 KOL 识别 → 资质评估 → 比稿议价 → 合同签订 → 投放执行 → 效果归因 → 续约归档共 7 个阶段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二、商业价值评分模型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判断 KOL 是否值得合作、能带来多大商业回报。评分范围 0–100 分，由 7 个维度加权求和。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 Unicode MS" w:cs="Calibri" w:eastAsia="Arial Unicode MS" w:hAnsi="Arial Unicode MS"/>
          <w:b/>
          <w:bCs/>
          <w:color w:val="0D9488"/>
          <w:sz w:val="26"/>
          <w:szCs w:val="26"/>
        </w:rPr>
        <w:t xml:space="preserve">评级标准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0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1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建议行动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80 分及以上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A 级  高商业价值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优先推进合作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65–79 分</w:t>
            </w:r>
          </w:p>
        </w:tc>
        <w:tc>
          <w:tcPr>
            <w:tcW w:type="dxa" w:w="40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1D4ED8"/>
                <w:sz w:val="20"/>
                <w:szCs w:val="20"/>
              </w:rPr>
              <w:t xml:space="preserve">B 级  良好商业价值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可进入洽谈阶段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65 分以下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0"/>
                <w:szCs w:val="20"/>
              </w:rPr>
              <w:t xml:space="preserve">C 级  商业价值待验证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谨慎评估，视风险决定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 Unicode MS" w:cs="Calibri" w:eastAsia="Arial Unicode MS" w:hAnsi="Arial Unicode MS"/>
          <w:b/>
          <w:bCs/>
          <w:color w:val="0D9488"/>
          <w:sz w:val="26"/>
          <w:szCs w:val="26"/>
        </w:rPr>
        <w:t xml:space="preserve">七个评估维度及权重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D9488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4"/>
                <w:szCs w:val="24"/>
              </w:rPr>
              <w:t xml:space="preserve">① 受众匹配度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20%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评估粉丝群体是否与欧洲汽车购车人群高度重合。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目标市场（英/法/德）受众占比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粉丝地理分布；由 YouTube API 自动抓取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目标语言内容能力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三语 EN/FR/DE = 100；双语 = 65；单语 = 30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汽车/EV 兴趣受众占比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第三方工具数据；无数据默认 50 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潜在购车人群覆盖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25–55 岁比例 × 收入水平综合评分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车型目标人群匹配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受众地理与汽车兴趣的交叉比例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59669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059669"/>
                <w:sz w:val="24"/>
                <w:szCs w:val="24"/>
              </w:rPr>
              <w:t xml:space="preserve">② 内容相关性与专业度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评估是否持续生产高质量汽车内容，在粉丝中的专业可信度。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汽车/EV 内容专注度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汽车相关内容占总内容比例，直接输入百分比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测评深度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深度（含技术参数/驾驶感受）= 95；中度 = 65；浅度（外观展示）= 30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专业可信度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有媒体背景/行业认证 = 90；一般专业性 = 60；无专业背书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C3AED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7C3AED"/>
                <w:sz w:val="24"/>
                <w:szCs w:val="24"/>
              </w:rPr>
              <w:t xml:space="preserve">③ 互动质量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不只看互动率数字，更关注互动的真实性与内容深度。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真实互动率 ERR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YouTube API 自动计算：（点赞+评论）/ 订阅数×100；汽车垂类健康值 1.5–3%，3% = 满分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视频平均完播率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60% 完播 = 满分；按比例折算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评论质量与真实性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大量真实长评论 = 90；有一定真实讨论 = 60；以表情为主 = 25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分享/收藏传播系数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分享+收藏占总互动比例；20% = 满分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91C1C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4"/>
                <w:szCs w:val="24"/>
              </w:rPr>
              <w:t xml:space="preserve">④ VOC 反馈价值  ★ 欧洲车企专项指标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VOC = Voice of Customer（用户之声）。评估评论区能否产生对车企有战略价值的用户反馈，如续航体验、充电便利性、保险费用、经销商服务等。这是中国车企出海欧洲最需要的本地化数据来源之一。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评论区汽车话题深度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有大量续航/充电/价格/经销商讨论 = 90；偶有实质评论 = 60；泛化互动为主 = 25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负面 VOC 识别价值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能捕获有价值的负面声音（如充电桩不足、残值担忧）= 90；偶有 = 60；无 = 25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历史车主反馈产出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有完整 VOC 复盘记录 = 90；部分有反馈 = 60；暂无 = 20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45309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4"/>
                <w:szCs w:val="24"/>
              </w:rPr>
              <w:t xml:space="preserve">⑤ 商业效率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15%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评估合作性价比，重点关注报价合理性、内容版权条款和排他要求。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CPM / 报价性价比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与行业基准 CPM 比较；低于基准 20% 以上 = 满分；高于基准 50% = 20 分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内容二次复用权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全权复用（无期限/无限场景）= 95；限制复用 = 60；不允许 = 20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排他要求合理性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无排他 = 90；软排他（同类品牌）= 65；强排他（全品类）=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B2777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DB2777"/>
                <w:sz w:val="24"/>
                <w:szCs w:val="24"/>
              </w:rPr>
              <w:t xml:space="preserve">⑥ 品牌适配度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10%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评估 KOL 个人形象与人设是否符合目标车企的品牌定位（技术型 / 家庭型 / 高端型 / 年轻化）。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品牌调性匹配度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人设与目标品牌高度一致 = 90；中性通用 = 65；调性相悖 = 20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历史合作品牌调性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以同级别品牌为主 = 90；品类混合 = 65；以冲突品牌为主 = 20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内容风格一致性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长期稳定内容调性 = 90；有一定波动 = 60；风格多变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891B2" w:sz="16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</w:tcPr>
          <w:p>
            <w:pPr>
              <w:spacing w:after="60" w:before="100"/>
            </w:pPr>
            <w:r>
              <w:rPr>
                <w:rFonts w:ascii="Arial Unicode MS" w:cs="Calibri" w:eastAsia="Arial Unicode MS" w:hAnsi="Arial Unicode MS"/>
                <w:b/>
                <w:bCs/>
                <w:color w:val="0891B2"/>
                <w:sz w:val="24"/>
                <w:szCs w:val="24"/>
              </w:rPr>
              <w:t xml:space="preserve">⑦ 合作可执行性</w:t>
            </w:r>
            <w:r>
              <w:rPr>
                <w:rFonts w:ascii="Arial Unicode MS" w:cs="Calibri" w:eastAsia="Arial Unicode MS" w:hAnsi="Arial Unicode MS"/>
                <w:color w:val="6B7280"/>
                <w:sz w:val="20"/>
                <w:szCs w:val="20"/>
              </w:rPr>
              <w:t xml:space="preserve">   ——   权重 10%</w:t>
            </w:r>
          </w:p>
          <w:p>
            <w:pPr>
              <w:spacing w:after="100" w:before="60"/>
            </w:pPr>
            <w:r>
              <w:rPr>
                <w:rFonts w:ascii="Arial Unicode MS" w:cs="Calibri" w:eastAsia="Arial Unicode MS" w:hAnsi="Arial Unicode MS"/>
                <w:b w:val="false"/>
                <w:bCs w:val="false"/>
                <w:color w:val="374151"/>
                <w:sz w:val="22"/>
                <w:szCs w:val="22"/>
              </w:rPr>
              <w:t xml:space="preserve">评估 KOL 的历史执行能力，预判本次合作的顺畅度。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rPr>
                <w:tblHeader/>
              </w:trPr>
              <w:tc>
                <w:tcPr>
                  <w:tcW w:type="dxa" w:w="2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子指标</w:t>
                  </w:r>
                </w:p>
              </w:tc>
              <w:tc>
                <w:tcPr>
                  <w:tcW w:type="dxa" w:w="80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权重</w:t>
                  </w:r>
                </w:p>
              </w:tc>
              <w:tc>
                <w:tcPr>
                  <w:tcW w:type="dxa" w:w="5760"/>
                  <w:shd w:fill="1B2B3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评分说明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历史履约率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按时交付次数 / 总合作次数 × 100，直接输入百分比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Brief 配合意愿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主动配合修改/接受审核 = 90；基本配合 = 60；排斥修改 = 25</w:t>
                  </w:r>
                </w:p>
              </w:tc>
            </w:tr>
            <w:tr>
              <w:tc>
                <w:tcPr>
                  <w:tcW w:type="dxa" w:w="2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复盘数据提供意愿</w:t>
                  </w:r>
                </w:p>
              </w:tc>
              <w:tc>
                <w:tcPr>
                  <w:tcW w:type="dxa" w:w="80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5760"/>
                  <w:shd w:fill="FFFFFF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主动提供完整数据 = 90；需要索取 = 60；拒绝 = 15</w:t>
                  </w:r>
                </w:p>
              </w:tc>
            </w:tr>
            <w:tr>
              <w:tc>
                <w:tcPr>
                  <w:tcW w:type="dxa" w:w="2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合同签约灵活度</w:t>
                  </w:r>
                </w:p>
              </w:tc>
              <w:tc>
                <w:tcPr>
                  <w:tcW w:type="dxa" w:w="80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5760"/>
                  <w:shd w:fill="F8FAFC" w:val="clear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 w:val="function bold() { [native code] }"/>
                      <w:bCs w:val="function bold() { [native code] }"/>
                      <w:color w:val="374151"/>
                      <w:sz w:val="20"/>
                      <w:szCs w:val="20"/>
                    </w:rPr>
                    <w:t xml:space="preserve">愿意协商条款 = 90；接受标准条款 = 65；坚持己方 = 25</w:t>
                  </w:r>
                </w:p>
              </w:tc>
            </w:tr>
          </w:tbl>
          <w:p>
            <w:pPr>
              <w:spacing w:after="0" w:before="40"/>
            </w:pP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三、风险评分模型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识别合作中的潜在风险。</w:t>
      </w:r>
      <w:r>
        <w:rPr>
          <w:rFonts w:ascii="Arial Unicode MS" w:cs="Calibri" w:eastAsia="Arial Unicode MS" w:hAnsi="Arial Unicode MS"/>
          <w:b/>
          <w:bCs/>
          <w:color w:val="B91C1C"/>
          <w:sz w:val="22"/>
          <w:szCs w:val="22"/>
        </w:rPr>
        <w:t xml:space="preserve">分数越高 = 风险越大</w:t>
      </w: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，与商业价值模型方向相反。触发高风险阈值时平台自动生成预警，建议进入法务和品牌负责人复核流程。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B91C1C"/>
          <w:sz w:val="22"/>
          <w:szCs w:val="22"/>
        </w:rPr>
        <w:t xml:space="preserve">风险等级：0–30 = 低风险（绿色）  ·  31–60 = 中风险（橙色）  ·  61–100 = 高风险（红色）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 Unicode MS" w:cs="Calibri" w:eastAsia="Arial Unicode MS" w:hAnsi="Arial Unicode MS"/>
          <w:b/>
          <w:bCs/>
          <w:color w:val="0D9488"/>
          <w:sz w:val="26"/>
          <w:szCs w:val="26"/>
        </w:rPr>
        <w:t xml:space="preserve">八个风险维度及权重分配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4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核心观察点</w:t>
            </w:r>
          </w:p>
        </w:tc>
        <w:tc>
          <w:tcPr>
            <w:tcW w:type="dxa" w:w="33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高风险触发条件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7F1D1D"/>
                <w:sz w:val="20"/>
                <w:szCs w:val="20"/>
              </w:rPr>
              <w:t xml:space="preserve">① 历史负面舆情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不当言论、虚假宣传、司法处罚、平台封号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极严重负面事件 / 严重虚假宣传记录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92400E"/>
                <w:sz w:val="20"/>
                <w:szCs w:val="20"/>
              </w:rPr>
              <w:t xml:space="preserve">② 广告披露合规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是否规范标注 #ad / #Werbung / paid partnership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从不标注广告披露（违反欧盟广告法）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1E3A8A"/>
                <w:sz w:val="20"/>
                <w:szCs w:val="20"/>
              </w:rPr>
              <w:t xml:space="preserve">③ 竞品冲突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是否绑定 Tesla、VW、BMW、Kia、Hyundai 等竞品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当前为竞品品牌大使（深度排他绑定）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65F46"/>
                <w:sz w:val="20"/>
                <w:szCs w:val="20"/>
              </w:rPr>
              <w:t xml:space="preserve">④ 虚假流量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僵尸粉比例、粉丝暴涨记录、评论模板化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僵尸粉超过 40%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4C1D95"/>
                <w:sz w:val="20"/>
                <w:szCs w:val="20"/>
              </w:rPr>
              <w:t xml:space="preserve">⑤ 数据与隐私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GDPR 违规记录、粉丝数据使用规范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存在严重 GDPR 违规记录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369A1"/>
                <w:sz w:val="20"/>
                <w:szCs w:val="20"/>
              </w:rPr>
              <w:t xml:space="preserve">⑥ 未成年人受众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受众中 18 岁以下占比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未成年受众超过 30%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14532D"/>
                <w:sz w:val="20"/>
                <w:szCs w:val="20"/>
              </w:rPr>
              <w:t xml:space="preserve">⑦ 可持续/技术声明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是否夸大续航、零排放、自动驾驶能力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有严重夸大技术/环保声明记录</w:t>
            </w:r>
          </w:p>
        </w:tc>
      </w:tr>
      <w:tr>
        <w:tc>
          <w:tcPr>
            <w:tcW w:type="dxa" w:w="1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6B7280"/>
                <w:sz w:val="20"/>
                <w:szCs w:val="20"/>
              </w:rPr>
              <w:t xml:space="preserve">⑧ 合作执行风险</w:t>
            </w:r>
          </w:p>
        </w:tc>
        <w:tc>
          <w:tcPr>
            <w:tcW w:type="dxa" w:w="7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3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延期、删帖、拒绝修改 Brief、数据不完整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频繁延期或拒绝修改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四、双模型结合使用指南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两个模型的输出结果需结合解读，单一分数不能代替综合判断：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商业价值分</w:t>
            </w:r>
          </w:p>
        </w:tc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风险分</w:t>
            </w:r>
          </w:p>
        </w:tc>
        <w:tc>
          <w:tcPr>
            <w:tcW w:type="dxa" w:w="24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综合判断</w:t>
            </w:r>
          </w:p>
        </w:tc>
        <w:tc>
          <w:tcPr>
            <w:tcW w:type="dxa" w:w="33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建议行动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低（≤30）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理想合作对象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优先推进，加快签约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0"/>
                <w:szCs w:val="20"/>
              </w:rPr>
              <w:t xml:space="preserve">中（31–60）</w:t>
            </w:r>
          </w:p>
        </w:tc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高价值但需管控风险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合同中加强约束条款，明确合规要求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高（≥80）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高（≥61）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价值高但风险不可忽视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进入法务复核流程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1D4ED8"/>
                <w:sz w:val="20"/>
                <w:szCs w:val="20"/>
              </w:rPr>
              <w:t xml:space="preserve">中（65–79）</w:t>
            </w:r>
          </w:p>
        </w:tc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47857"/>
                <w:sz w:val="20"/>
                <w:szCs w:val="20"/>
              </w:rPr>
              <w:t xml:space="preserve">低（≤30）</w:t>
            </w:r>
          </w:p>
        </w:tc>
        <w:tc>
          <w:tcPr>
            <w:tcW w:type="dxa" w:w="2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稳健合作对象</w:t>
            </w:r>
          </w:p>
        </w:tc>
        <w:tc>
          <w:tcPr>
            <w:tcW w:type="dxa" w:w="33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正常推进，关注内容专业度提升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低（&lt;65）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高（≥61）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不建议合作</w:t>
            </w:r>
          </w:p>
        </w:tc>
        <w:tc>
          <w:tcPr>
            <w:tcW w:type="dxa" w:w="33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直接排除，节省资源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五、CLM 全流程管理（7 个阶段）</w:t>
      </w:r>
    </w:p>
    <w:p>
      <w:pPr>
        <w:spacing w:after="100" w:before="60"/>
      </w:pPr>
      <w:r>
        <w:rPr>
          <w:rFonts w:ascii="Arial Unicode MS" w:cs="Calibri" w:eastAsia="Arial Unicode MS" w:hAnsi="Arial Unicode MS"/>
          <w:b w:val="false"/>
          <w:bCs w:val="false"/>
          <w:color w:val="374151"/>
          <w:sz w:val="22"/>
          <w:szCs w:val="22"/>
        </w:rPr>
        <w:t xml:space="preserve">平台对每个 KOL 的合作进程进行全生命周期追踪，团队可手动推进 KOL 所在阶段：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核心工作</w:t>
            </w:r>
          </w:p>
        </w:tc>
        <w:tc>
          <w:tcPr>
            <w:tcW w:type="dxa" w:w="31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关键输出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① KOL 识别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按区域分层筛选，区分平台定位，排除风险账号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潜在 KOL 初选长名单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② 资质评估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运行商业价值 + 风险双模型，完成量化打分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资质评分表 + 风险评级 + 入围短名单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③ 比稿议价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多模式比价（现金/车辆置换/CPS分佣），跨境商务谈判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比价评审表 + 意向确认单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④ 合同签订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签订双语合同，完成 GDPR/FTC/欧盟广告法规合规交底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生效合同 + 属地合规交底单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⑤ 投放执行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内容审核，多平台发布，实时数据监控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内容审核记录 + 发布凭证 + 实时数据台账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⑥ 效果归因</w:t>
            </w:r>
          </w:p>
        </w:tc>
        <w:tc>
          <w:tcPr>
            <w:tcW w:type="dxa" w:w="44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对比合同 KPI，分析 ROI、VOC 反馈，外汇成本核算</w:t>
            </w:r>
          </w:p>
        </w:tc>
        <w:tc>
          <w:tcPr>
            <w:tcW w:type="dxa" w:w="31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投放效果复盘报告 + VOC 分析报告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⑦ 续约/归档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决策是否续约，更新全球达人数据库，沉淀 SOP</w:t>
            </w:r>
          </w:p>
        </w:tc>
        <w:tc>
          <w:tcPr>
            <w:tcW w:type="dxa" w:w="31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续约方案 或 归档档案 + SOP 更新版本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100"/>
      </w:pPr>
    </w:p>
    <w:p>
      <w:pPr>
        <w:pStyle w:val="Heading1"/>
        <w:spacing w:after="160" w:before="400"/>
      </w:pPr>
      <w:r>
        <w:rPr>
          <w:rFonts w:ascii="Arial Unicode MS" w:cs="Calibri" w:eastAsia="Arial Unicode MS" w:hAnsi="Arial Unicode MS"/>
          <w:b/>
          <w:bCs/>
          <w:color w:val="1B2B3C"/>
          <w:sz w:val="32"/>
          <w:szCs w:val="32"/>
        </w:rPr>
        <w:t xml:space="preserve">六、评分权重一览表</w:t>
      </w:r>
    </w:p>
    <w:p>
      <w:pPr>
        <w:spacing w:after="0" w:before="40"/>
      </w:pPr>
    </w:p>
    <w:p>
      <w:pPr>
        <w:pStyle w:val="Heading2"/>
        <w:spacing w:after="120" w:before="320"/>
      </w:pPr>
      <w:r>
        <w:rPr>
          <w:rFonts w:ascii="Arial Unicode MS" w:cs="Calibri" w:eastAsia="Arial Unicode MS" w:hAnsi="Arial Unicode MS"/>
          <w:b/>
          <w:bCs/>
          <w:color w:val="0D9488"/>
          <w:sz w:val="26"/>
          <w:szCs w:val="26"/>
        </w:rPr>
        <w:t xml:space="preserve">商业价值模型（7 维度 · 总权重 100%）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2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核心评估内容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受众匹配度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20%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目标市场受众覆盖、语言能力、汽车兴趣、购车人群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内容相关性与专业度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汽车内容占比、测评深度、专业可信度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互动质量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ERR 互动率、完播率、评论真实性、传播系数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VOC 反馈价值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评论区话题深度、负面反馈价值、历史车主反馈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商业效率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CPM 性价比、内容复用权、排他要求合理性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品牌适配度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品牌调性匹配、历史合作调性、内容风格一致性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⑦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合作可执行性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0D9488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历史履约率、Brief 配合度、数据提供意愿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 Unicode MS" w:cs="Calibri" w:eastAsia="Arial Unicode MS" w:hAnsi="Arial Unicode MS"/>
          <w:b/>
          <w:bCs/>
          <w:color w:val="0D9488"/>
          <w:sz w:val="26"/>
          <w:szCs w:val="26"/>
        </w:rPr>
        <w:t xml:space="preserve">风险模型（8 维度 · 总权重 100%）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260"/>
            <w:shd w:fill="1B2B3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高风险触发说明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历史负面舆情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20%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极严重负面事件 / 严重虚假宣传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广告披露合规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从不标注 #ad / #Werbung（违反欧盟广告法）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竞品冲突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当前为竞品品牌大使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虚假流量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91C1C"/>
                <w:sz w:val="20"/>
                <w:szCs w:val="20"/>
              </w:rPr>
              <w:t xml:space="preserve">15%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僵尸粉超过 40%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数据与隐私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严重 GDPR 违规记录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未成年人受众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未成年受众超过 30%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⑦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可持续/技术声明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B45309"/>
                <w:sz w:val="20"/>
                <w:szCs w:val="20"/>
              </w:rPr>
              <w:t xml:space="preserve">10%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严重夸大续航/自动驾驶/环保声明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⑧</w:t>
            </w:r>
          </w:p>
        </w:tc>
        <w:tc>
          <w:tcPr>
            <w:tcW w:type="dxa" w:w="26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374151"/>
                <w:sz w:val="20"/>
                <w:szCs w:val="20"/>
              </w:rPr>
              <w:t xml:space="preserve">合作执行风险</w:t>
            </w:r>
          </w:p>
        </w:tc>
        <w:tc>
          <w:tcPr>
            <w:tcW w:type="dxa" w:w="90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/>
                <w:bCs/>
                <w:color w:val="6B7280"/>
                <w:sz w:val="20"/>
                <w:szCs w:val="20"/>
              </w:rPr>
              <w:t xml:space="preserve">5%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</w:pPr>
            <w:r>
              <w:rPr>
                <w:rFonts w:ascii="Arial Unicode MS" w:cs="Calibri" w:eastAsia="Arial Unicode MS" w:hAnsi="Arial Unicode MS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频繁延期或拒绝修改 Brief</w:t>
            </w:r>
          </w:p>
        </w:tc>
      </w:tr>
    </w:tbl>
    <w:p>
      <w:pPr>
        <w:spacing w:after="0" w:before="300"/>
      </w:pPr>
    </w:p>
    <w:p>
      <w:pPr>
        <w:pBdr>
          <w:bottom w:val="single" w:color="E2E8F0" w:sz="6"/>
        </w:pBdr>
        <w:spacing w:after="20" w:before="20"/>
      </w:pPr>
    </w:p>
    <w:p>
      <w:pPr>
        <w:spacing w:after="0" w:before="200"/>
        <w:jc w:val="center"/>
      </w:pPr>
      <w:r>
        <w:rPr>
          <w:rFonts w:ascii="Arial Unicode MS" w:cs="Calibri" w:eastAsia="Arial Unicode MS" w:hAnsi="Arial Unicode MS"/>
          <w:color w:val="6B7280"/>
          <w:sz w:val="18"/>
          <w:szCs w:val="18"/>
        </w:rPr>
        <w:t xml:space="preserve">KOL 合作管理平台  ·  欧洲车企出海版  ·  v3.0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rFonts w:ascii="Arial Unicode MS" w:hAnsi="Arial Unicode MS" w:eastAsia="Arial Unicode M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 Unicode MS" w:hAnsi="Arial Unicode MS" w:eastAsia="Arial Unicode M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 Unicode MS" w:hAnsi="Arial Unicode MS" w:eastAsia="Arial Unicode M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 Unicode MS" w:hAnsi="Arial Unicode MS" w:eastAsia="Arial Unicode M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 Unicode MS" w:hAnsi="Arial Unicode MS" w:eastAsia="Arial Unicode M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Arial Unicode MS" w:hAnsi="Arial Unicode MS" w:eastAsia="Arial Unicode MS"/>
      <w:color w:val="2E74B5"/>
    </w:rPr>
  </w:style>
  <w:style w:type="paragraph" w:styleId="Heading6">
    <w:name w:val="Heading 6"/>
    <w:basedOn w:val="Normal"/>
    <w:next w:val="Normal"/>
    <w:qFormat/>
    <w:rPr>
      <w:rFonts w:ascii="Arial Unicode MS" w:hAnsi="Arial Unicode MS" w:eastAsia="Arial Unicode MS"/>
      <w:color w:val="1F4D78"/>
    </w:rPr>
  </w:style>
  <w:style w:type="paragraph" w:styleId="Strong">
    <w:name w:val="Strong"/>
    <w:basedOn w:val="Normal"/>
    <w:next w:val="Normal"/>
    <w:qFormat/>
    <w:rPr>
      <w:rFonts w:ascii="Arial Unicode MS" w:hAnsi="Arial Unicode MS" w:eastAsia="Arial Unicode MS"/>
      <w:b/>
      <w:bCs/>
    </w:rPr>
  </w:style>
  <w:style w:type="paragraph" w:styleId="ListParagraph">
    <w:name w:val="List Paragraph"/>
    <w:basedOn w:val="Normal"/>
    <w:qFormat/>
    <w:rPr>
      <w:rFonts w:ascii="Arial Unicode MS" w:hAnsi="Arial Unicode MS" w:eastAsia="Arial Unicode MS"/>
    </w:rPr>
  </w:style>
  <w:style w:type="character" w:styleId="Hyperlink">
    <w:name w:val="Hyperlink"/>
    <w:basedOn w:val="DefaultParagraphFont"/>
    <w:uiPriority w:val="99"/>
    <w:unhideWhenUsed/>
    <w:rPr>
      <w:rFonts w:ascii="Arial Unicode MS" w:hAnsi="Arial Unicode MS" w:eastAsia="Arial Unicode MS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 Unicode MS" w:hAnsi="Arial Unicode MS" w:eastAsia="Arial Unicode MS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 Unicode MS" w:hAnsi="Arial Unicode MS" w:eastAsia="Arial Unicode MS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 Unicode MS" w:hAnsi="Arial Unicode MS" w:eastAsia="Arial Unicode M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 Unicode MS" w:hAnsi="Arial Unicode MS" w:eastAsia="Arial Unicode MS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 Unicode MS" w:hAnsi="Arial Unicode MS" w:eastAsia="Arial Unicode MS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 Unicode MS" w:hAnsi="Arial Unicode MS" w:eastAsia="Arial Unicode MS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2026-07-11T02:42:37.311Z</dcterms:created>
  <dcterms:modified xsi:type="dcterms:W3CDTF">2026-07-11T02:42:37.323Z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