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Cs w:val="26"/>
          <w:lang w:val="en-GB" w:eastAsia="en-GB"/>
        </w:rPr>
      </w:pPr>
      <w:r>
        <w:rPr>
          <w:rFonts w:cs="Times New Roman" w:ascii="Times New Roman" w:hAnsi="Times New Roman"/>
          <w:bCs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ragraph">
                  <wp:posOffset>139065</wp:posOffset>
                </wp:positionV>
                <wp:extent cx="2353945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945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278683835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5.35pt;height:36.2pt;mso-wrap-distance-left:9.05pt;mso-wrap-distance-right:9.05pt;mso-wrap-distance-top:0pt;mso-wrap-distance-bottom:0pt;margin-top:10.95pt;mso-position-vertical-relative:text;margin-left:294.7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46053903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454025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15pt,35.75pt" to="152.65pt,35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…,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ngày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ĐỀ NGHỊ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Xem xét, quyết </w:t>
      </w: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 xml:space="preserve">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biện pháp giáo dục tại tr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ờng giáo d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ỡng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{{document.fullDocumentCode}}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pacing w:val="-2"/>
          <w:szCs w:val="28"/>
        </w:rPr>
        <w:t xml:space="preserve">Căn cứ các điều 35, 37, 39, 51, 55 và 63 của Luật Tư pháp người chưa thành niên. 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Cs w:val="28"/>
        </w:rPr>
        <w:t>… đối với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9"/>
      </w:r>
      <w:r>
        <w:rPr>
          <w:rFonts w:cs="Times New Roman" w:ascii="Times New Roman" w:hAnsi="Times New Roman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Quá trình thụ lý, giải quyết vụ án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…,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thấy bị can: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  <w:tab/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{{recipients.personLine4}}</w:t>
        <w:tab/>
        <w:t>{{recipients.personLine5}}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{{recipients.personLine6}}</w:t>
        <w:tab/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{{recipients.personLine11}}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{{recipients.personLine14}}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{{recipients.personLine15}}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  <w:szCs w:val="28"/>
        </w:rPr>
        <w:t>thuộc tr</w:t>
      </w:r>
      <w:r>
        <w:rPr>
          <w:rFonts w:cs="Times New Roman" w:hint="eastAsia" w:ascii="Times New Roman" w:hAnsi="Times New Roman"/>
          <w:spacing w:val="-6"/>
          <w:szCs w:val="28"/>
        </w:rPr>
        <w:t>ư</w:t>
      </w:r>
      <w:r>
        <w:rPr>
          <w:rFonts w:cs="Times New Roman" w:ascii="Times New Roman" w:hAnsi="Times New Roman"/>
          <w:spacing w:val="-6"/>
          <w:szCs w:val="28"/>
        </w:rPr>
        <w:t xml:space="preserve">ờng hợp và </w:t>
      </w:r>
      <w:r>
        <w:rPr>
          <w:rFonts w:cs="Times New Roman" w:hint="eastAsia" w:ascii="Times New Roman" w:hAnsi="Times New Roman"/>
          <w:spacing w:val="-6"/>
          <w:szCs w:val="28"/>
        </w:rPr>
        <w:t>đ</w:t>
      </w:r>
      <w:r>
        <w:rPr>
          <w:rFonts w:cs="Times New Roman" w:ascii="Times New Roman" w:hAnsi="Times New Roman"/>
          <w:spacing w:val="-6"/>
          <w:szCs w:val="28"/>
        </w:rPr>
        <w:t xml:space="preserve">ủ </w:t>
      </w:r>
      <w:r>
        <w:rPr>
          <w:rFonts w:cs="Times New Roman" w:hint="eastAsia" w:ascii="Times New Roman" w:hAnsi="Times New Roman"/>
          <w:spacing w:val="-6"/>
          <w:szCs w:val="28"/>
        </w:rPr>
        <w:t>đ</w:t>
      </w:r>
      <w:r>
        <w:rPr>
          <w:rFonts w:cs="Times New Roman" w:ascii="Times New Roman" w:hAnsi="Times New Roman"/>
          <w:spacing w:val="-6"/>
          <w:szCs w:val="28"/>
        </w:rPr>
        <w:t>iều kiện áp dụng biện pháp giáo dục tại tr</w:t>
      </w:r>
      <w:r>
        <w:rPr>
          <w:rFonts w:cs="Times New Roman" w:hint="eastAsia" w:ascii="Times New Roman" w:hAnsi="Times New Roman"/>
          <w:spacing w:val="-6"/>
          <w:szCs w:val="28"/>
        </w:rPr>
        <w:t>ư</w:t>
      </w:r>
      <w:r>
        <w:rPr>
          <w:rFonts w:cs="Times New Roman" w:ascii="Times New Roman" w:hAnsi="Times New Roman"/>
          <w:spacing w:val="-6"/>
          <w:szCs w:val="28"/>
        </w:rPr>
        <w:t>ờng giáo d</w:t>
      </w:r>
      <w:r>
        <w:rPr>
          <w:rFonts w:cs="Times New Roman" w:hint="eastAsia" w:ascii="Times New Roman" w:hAnsi="Times New Roman"/>
          <w:spacing w:val="-6"/>
          <w:szCs w:val="28"/>
        </w:rPr>
        <w:t>ư</w:t>
      </w:r>
      <w:r>
        <w:rPr>
          <w:rFonts w:cs="Times New Roman" w:ascii="Times New Roman" w:hAnsi="Times New Roman"/>
          <w:spacing w:val="-6"/>
          <w:szCs w:val="28"/>
        </w:rPr>
        <w:t>ỡng.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Do vậy,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đề nghị</w:t>
      </w:r>
      <w:r>
        <w:rPr>
          <w:rFonts w:cs="Times New Roman" w:ascii="Times New Roman" w:hAnsi="Times New Roman"/>
          <w:bCs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xem xét áp dụng biện pháp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giáo dục tại trường giáo dưỡng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{{document.issuePlace}}</w:t>
      </w:r>
    </w:p>
    <w:p>
      <w:pPr>
        <w:pStyle w:val="Normal"/>
        <w:autoSpaceDE w:val="false"/>
        <w:ind w:firstLine="709" w:end="0"/>
        <w:rPr>
          <w:rFonts w:ascii="Times New Roman" w:hAnsi="Times New Roman" w:cs="Times New Roman"/>
          <w:i/>
          <w:szCs w:val="28"/>
        </w:rPr>
      </w:pPr>
      <w:r>
        <w:rPr>
          <w:rFonts w:cs="Times New Roman" w:ascii="Times New Roman" w:hAnsi="Times New Roman"/>
          <w:i/>
          <w:szCs w:val="28"/>
        </w:rPr>
        <w:t>Gửi kèm theo văn bản đề nghị là hồ sơ vụ án hình sự./.</w:t>
      </w:r>
    </w:p>
    <w:tbl>
      <w:tblPr>
        <w:tblW w:w="9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478"/>
      </w:tblGrid>
      <w:tr>
        <w:trPr/>
        <w:tc>
          <w:tcPr>
            <w:tcW w:w="4962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Như trên;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4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{{recipients.personLine15}}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Tòa án</w:t>
      </w:r>
      <w:r>
        <w:rPr>
          <w:rFonts w:cs="Times New Roman" w:ascii="Times New Roman" w:hAnsi="Times New Roman"/>
          <w:lang w:val="vi-VN"/>
        </w:rPr>
        <w:t xml:space="preserve"> có thẩm quyền ra Quyết định áp dụng biện pháp </w:t>
      </w:r>
      <w:r>
        <w:rPr>
          <w:rFonts w:cs="Times New Roman" w:ascii="Times New Roman" w:hAnsi="Times New Roman"/>
          <w:lang w:val="en-US"/>
        </w:rPr>
        <w:t>giáo dục tại trường giáo dưỡng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2025-08-11T06:49:00Z</dcterms:created>
  <dc:creator>PC</dc:creator>
  <dc:description/>
  <cp:keywords/>
  <dc:language>en-GB</dc:language>
  <cp:lastModifiedBy>PC</cp:lastModifiedBy>
  <cp:lastPrinted>2018-01-10T15:07:00Z</cp:lastPrinted>
  <dcterms:modified xsi:type="dcterms:W3CDTF">2026-01-30T18:03:00Z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