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CF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3AC7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171/HS</w:t>
                            </w:r>
                          </w:p>
                          <w:p w14:paraId="4C8EE8F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8AB2D2E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4CD59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CFA1C0">
      <w:pPr>
        <w:rPr>
          <w:rFonts w:hint="default" w:ascii="Times New Roman" w:hAnsi="Times New Roman" w:cs="Times New Roman"/>
          <w:sz w:val="28"/>
          <w:szCs w:val="28"/>
        </w:rPr>
      </w:pPr>
    </w:p>
    <w:p w14:paraId="71E1D71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6163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5" w:type="dxa"/>
            <w:noWrap w:val="0"/>
            <w:vAlign w:val="top"/>
          </w:tcPr>
          <w:p w14:paraId="55D76F8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113FFD48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171/QĐ-VKSKV7</w:t>
            </w:r>
          </w:p>
          <w:p w14:paraId="045827D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163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</w:p>
          <w:p w14:paraId="39DB61B9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09E3359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595FE5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0553E4A2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7031433D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LẠI TÀI SẢN</w:t>
      </w:r>
    </w:p>
    <w:p w14:paraId="617C6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E4E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1BA71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47CA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50/QĐ-VKSKV7 ngày 18/6/2026 về việc truy tố bị can trong vụ án hình sự số 50/2026/NVHS</w:t>
      </w:r>
    </w:p>
    <w:p w14:paraId="07303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và các Quyết định khởi tố bị can liên quan</w:t>
      </w:r>
    </w:p>
    <w:p w14:paraId="64D4B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Kết luận điều tra số 55/KL-VKSKV7 ngày 17/6/2026</w:t>
      </w:r>
    </w:p>
    <w:p w14:paraId="1A844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60/QĐ-VKSKV7 ngày 19/6/2026 về việc tạm đình chỉ vụ án hình sự số 50/2026/NVHS</w:t>
      </w:r>
    </w:p>
    <w:p w14:paraId="4C203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61/QĐ-VKSKV7 ngày 19/6/2026 về việc tạm đình chỉ điều tra đối với bị can</w:t>
      </w:r>
    </w:p>
    <w:p w14:paraId="41DE9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Xét thấy tài sản của bị can đã được kê biên, tạm giữ theo quy định pháp luật và chưa có căn cứ xử lý</w:t>
      </w:r>
    </w:p>
    <w:p w14:paraId="1D95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7B792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Trả lại tài sản sau đây:</w:t>
      </w:r>
    </w:p>
    <w:p w14:paraId="479F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1. Đất đai: thửa đất số 123, tờ bản đồ số 5, diện tích 150m2 tại phường 1, Quận 1, TP. Hồ Chí Minh; 2. Phương tiện: xe ô tô Toyota Camry biển kiểm soát 59A-123.45</w:t>
      </w:r>
    </w:p>
    <w:p w14:paraId="779EBE8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Cho ông/bà: NGUYỄN VĂN TUẤN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Giới tính: Nam</w:t>
      </w:r>
    </w:p>
    <w:p w14:paraId="2B73DD2F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Tên gọi khác: Tú</w:t>
      </w:r>
    </w:p>
    <w:p w14:paraId="110A9B22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Sinh ngày 15 tháng 8 năm 1992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tại: Quận 1, TP. Hồ Chí Minh</w:t>
      </w:r>
    </w:p>
    <w:p w14:paraId="10EC6CB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Quốc tịch: Việt Nam;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Dân tộc: Kinh;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Tôn giáo: Không</w:t>
      </w:r>
    </w:p>
    <w:p w14:paraId="1631EFA4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Nghề nghiệp: Kinh doanh tự do</w:t>
      </w:r>
    </w:p>
    <w:p w14:paraId="24901C6C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Số CMND/Thẻ CCCD/Thẻ CC/Hộ chiếu: 079092012345</w:t>
      </w:r>
    </w:p>
    <w:p w14:paraId="15BD1211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Cấp ngày 15 tháng 8 năm 2015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cấp: Công an Quận 1, TP. Hồ Chí Minh</w:t>
      </w:r>
    </w:p>
    <w:p w14:paraId="7585723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thường trú: 123 Đường Nguyễn Trãi, Quận 1, TP. Hồ Chí Minh</w:t>
      </w:r>
    </w:p>
    <w:p w14:paraId="0A072B40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tạm trú: 456 Đường Lê Lợi, Quận 3, TP. Hồ Chí Minh</w:t>
      </w:r>
    </w:p>
    <w:p w14:paraId="1B2048F3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Nơi ở hiện tại: 456 Đường Lê Lợi, Quận 3, TP. Hồ Chí Minh</w:t>
      </w:r>
    </w:p>
    <w:p w14:paraId="751F14A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Là </w:t>
      </w:r>
      <w:r>
        <w:rPr>
          <w:rFonts w:hint="default" w:ascii="Times New Roman" w:hAnsi="Times New Roman" w:cs="Times New Roman"/>
          <w:sz w:val="28"/>
          <w:szCs w:val="28"/>
        </w:rPr>
        <w:t>chủ sở hữu, quản lý hợp pháp đối với tài sản</w:t>
      </w:r>
    </w:p>
    <w:p w14:paraId="132D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Giao tài sản cho ông/bà Nguyễn Văn Tuấn quản lý, sử dụng đúng mục đích. Báo cáo kết quả thực hiện trong thời hạn 30 ngày kể từ ngày nhận quyết định</w:t>
      </w:r>
    </w:p>
    <w:p w14:paraId="5820E40F">
      <w:pPr>
        <w:ind w:right="22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2B75803">
            <w:pPr>
              <w:ind w:left="-108" w:firstLine="13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Thành phố Hồ Chí Minh;</w:t>
            </w:r>
          </w:p>
          <w:p w14:paraId="3335D114">
            <w:pPr>
              <w:ind w:left="-108" w:firstLine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4320" w:type="dxa"/>
            <w:noWrap w:val="0"/>
            <w:vAlign w:val="top"/>
          </w:tcPr>
          <w:p w14:paraId="7D7C1631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</w:p>
          <w:p w14:paraId="21DE0C6A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</w:p>
          <w:p w14:paraId="578E60DC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7FF2B577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5BB430E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486DAB45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79E963D4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1C49F172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57D67522">
      <w:pPr>
        <w:rPr>
          <w:rFonts w:hint="default" w:ascii="Times New Roman" w:hAnsi="Times New Roman" w:cs="Times New Roman"/>
          <w:sz w:val="28"/>
          <w:szCs w:val="28"/>
        </w:rPr>
      </w:pPr>
    </w:p>
    <w:p w14:paraId="3D2B7FCE">
      <w:pPr>
        <w:rPr>
          <w:rFonts w:hint="default" w:ascii="Times New Roman" w:hAnsi="Times New Roman" w:cs="Times New Roman"/>
          <w:sz w:val="28"/>
          <w:szCs w:val="28"/>
        </w:rPr>
      </w:pPr>
    </w:p>
    <w:p w14:paraId="0DF7C53C">
      <w:pPr>
        <w:rPr>
          <w:rFonts w:hint="default" w:ascii="Times New Roman" w:hAnsi="Times New Roman" w:cs="Times New Roman"/>
          <w:sz w:val="28"/>
          <w:szCs w:val="28"/>
        </w:rPr>
      </w:pPr>
    </w:p>
    <w:p w14:paraId="3AD1B51D">
      <w:pPr>
        <w:rPr>
          <w:rFonts w:hint="default" w:ascii="Times New Roman" w:hAnsi="Times New Roman" w:cs="Times New Roman"/>
          <w:sz w:val="28"/>
          <w:szCs w:val="28"/>
        </w:rPr>
      </w:pPr>
    </w:p>
    <w:p w14:paraId="4A2229DD">
      <w:pPr>
        <w:rPr>
          <w:rFonts w:hint="default" w:ascii="Times New Roman" w:hAnsi="Times New Roman" w:cs="Times New Roman"/>
          <w:sz w:val="28"/>
          <w:szCs w:val="28"/>
        </w:rPr>
      </w:pPr>
    </w:p>
    <w:p w14:paraId="7147481A">
      <w:pPr>
        <w:rPr>
          <w:rFonts w:hint="default" w:ascii="Times New Roman" w:hAnsi="Times New Roman" w:cs="Times New Roman"/>
          <w:sz w:val="28"/>
          <w:szCs w:val="28"/>
        </w:rPr>
      </w:pPr>
    </w:p>
    <w:p w14:paraId="0D17FB54">
      <w:pPr>
        <w:rPr>
          <w:rFonts w:hint="default" w:ascii="Times New Roman" w:hAnsi="Times New Roman" w:cs="Times New Roman"/>
          <w:sz w:val="28"/>
          <w:szCs w:val="28"/>
        </w:rPr>
      </w:pPr>
    </w:p>
    <w:p w14:paraId="1FC54020">
      <w:pPr>
        <w:rPr>
          <w:rFonts w:hint="default" w:ascii="Times New Roman" w:hAnsi="Times New Roman" w:cs="Times New Roman"/>
          <w:sz w:val="28"/>
          <w:szCs w:val="28"/>
        </w:rPr>
      </w:pPr>
    </w:p>
    <w:p w14:paraId="62766538">
      <w:pPr>
        <w:rPr>
          <w:rFonts w:hint="default" w:ascii="Times New Roman" w:hAnsi="Times New Roman" w:cs="Times New Roman"/>
          <w:sz w:val="28"/>
          <w:szCs w:val="28"/>
        </w:rPr>
      </w:pPr>
    </w:p>
    <w:p w14:paraId="0D6FF88B">
      <w:pPr>
        <w:rPr>
          <w:rFonts w:hint="default" w:ascii="Times New Roman" w:hAnsi="Times New Roman" w:cs="Times New Roman"/>
          <w:sz w:val="28"/>
          <w:szCs w:val="28"/>
        </w:rPr>
      </w:pPr>
    </w:p>
    <w:p w14:paraId="21818BDA">
      <w:pPr>
        <w:rPr>
          <w:rFonts w:hint="default" w:ascii="Times New Roman" w:hAnsi="Times New Roman" w:cs="Times New Roman"/>
          <w:sz w:val="28"/>
          <w:szCs w:val="28"/>
        </w:rPr>
      </w:pPr>
    </w:p>
    <w:p w14:paraId="42E0878D">
      <w:pPr>
        <w:rPr>
          <w:rFonts w:hint="default" w:ascii="Times New Roman" w:hAnsi="Times New Roman" w:cs="Times New Roman"/>
          <w:sz w:val="28"/>
          <w:szCs w:val="28"/>
        </w:rPr>
      </w:pPr>
    </w:p>
    <w:p w14:paraId="202AD4E0">
      <w:pPr>
        <w:rPr>
          <w:rFonts w:hint="default" w:ascii="Times New Roman" w:hAnsi="Times New Roman" w:cs="Times New Roman"/>
          <w:sz w:val="28"/>
          <w:szCs w:val="28"/>
        </w:rPr>
      </w:pPr>
    </w:p>
    <w:p w14:paraId="0A238A14">
      <w:pPr>
        <w:rPr>
          <w:rFonts w:hint="default" w:ascii="Times New Roman" w:hAnsi="Times New Roman" w:cs="Times New Roman"/>
          <w:sz w:val="28"/>
          <w:szCs w:val="28"/>
        </w:rPr>
      </w:pPr>
    </w:p>
    <w:p w14:paraId="552721DB">
      <w:pPr>
        <w:rPr>
          <w:rFonts w:hint="default" w:ascii="Times New Roman" w:hAnsi="Times New Roman" w:cs="Times New Roman"/>
          <w:sz w:val="28"/>
          <w:szCs w:val="28"/>
        </w:rPr>
      </w:pPr>
    </w:p>
    <w:p w14:paraId="780D7DD0">
      <w:pPr>
        <w:rPr>
          <w:rFonts w:hint="default" w:ascii="Times New Roman" w:hAnsi="Times New Roman" w:cs="Times New Roman"/>
          <w:sz w:val="28"/>
          <w:szCs w:val="28"/>
        </w:rPr>
      </w:pPr>
    </w:p>
    <w:p w14:paraId="47E69CDE">
      <w:pPr>
        <w:rPr>
          <w:rFonts w:hint="default" w:ascii="Times New Roman" w:hAnsi="Times New Roman" w:cs="Times New Roman"/>
          <w:sz w:val="28"/>
          <w:szCs w:val="28"/>
        </w:rPr>
      </w:pPr>
    </w:p>
    <w:p w14:paraId="3F490A0D">
      <w:pPr>
        <w:rPr>
          <w:rFonts w:hint="default" w:ascii="Times New Roman" w:hAnsi="Times New Roman" w:cs="Times New Roman"/>
          <w:sz w:val="28"/>
          <w:szCs w:val="28"/>
        </w:rPr>
      </w:pPr>
    </w:p>
    <w:p w14:paraId="67CFCA4D">
      <w:pPr>
        <w:rPr>
          <w:rFonts w:hint="default" w:ascii="Times New Roman" w:hAnsi="Times New Roman" w:cs="Times New Roman"/>
          <w:sz w:val="28"/>
          <w:szCs w:val="28"/>
        </w:rPr>
      </w:pPr>
    </w:p>
    <w:p w14:paraId="67F6D632">
      <w:pPr>
        <w:rPr>
          <w:rFonts w:hint="default" w:ascii="Times New Roman" w:hAnsi="Times New Roman" w:cs="Times New Roman"/>
          <w:sz w:val="28"/>
          <w:szCs w:val="28"/>
        </w:rPr>
      </w:pPr>
    </w:p>
    <w:p w14:paraId="1565E914">
      <w:pPr>
        <w:rPr>
          <w:rFonts w:hint="default" w:ascii="Times New Roman" w:hAnsi="Times New Roman" w:cs="Times New Roman"/>
          <w:sz w:val="28"/>
          <w:szCs w:val="28"/>
        </w:rPr>
      </w:pPr>
    </w:p>
    <w:p w14:paraId="706F3099">
      <w:pPr>
        <w:rPr>
          <w:rFonts w:hint="default" w:ascii="Times New Roman" w:hAnsi="Times New Roman" w:cs="Times New Roman"/>
          <w:sz w:val="28"/>
          <w:szCs w:val="28"/>
        </w:rPr>
      </w:pPr>
    </w:p>
    <w:p w14:paraId="25FE69A0">
      <w:pPr>
        <w:rPr>
          <w:rFonts w:hint="default" w:ascii="Times New Roman" w:hAnsi="Times New Roman" w:cs="Times New Roman"/>
          <w:sz w:val="28"/>
          <w:szCs w:val="28"/>
        </w:rPr>
      </w:pPr>
    </w:p>
    <w:p w14:paraId="3FD5333C">
      <w:pPr>
        <w:rPr>
          <w:rFonts w:hint="default" w:ascii="Times New Roman" w:hAnsi="Times New Roman" w:cs="Times New Roman"/>
          <w:sz w:val="28"/>
          <w:szCs w:val="28"/>
        </w:rPr>
      </w:pPr>
    </w:p>
    <w:p w14:paraId="3F3E3E3F">
      <w:pPr>
        <w:rPr>
          <w:rFonts w:hint="default" w:ascii="Times New Roman" w:hAnsi="Times New Roman" w:cs="Times New Roman"/>
          <w:sz w:val="28"/>
          <w:szCs w:val="28"/>
        </w:rPr>
      </w:pPr>
    </w:p>
    <w:p w14:paraId="4678117B">
      <w:pPr>
        <w:rPr>
          <w:rFonts w:hint="default" w:ascii="Times New Roman" w:hAnsi="Times New Roman" w:cs="Times New Roman"/>
          <w:sz w:val="28"/>
          <w:szCs w:val="28"/>
        </w:rPr>
      </w:pPr>
    </w:p>
    <w:p w14:paraId="4645E8B6">
      <w:pPr>
        <w:rPr>
          <w:rFonts w:hint="default" w:ascii="Times New Roman" w:hAnsi="Times New Roman" w:cs="Times New Roman"/>
          <w:sz w:val="28"/>
          <w:szCs w:val="28"/>
        </w:rPr>
      </w:pPr>
    </w:p>
    <w:p w14:paraId="3445D1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141605</wp:posOffset>
                </wp:positionV>
                <wp:extent cx="1852930" cy="8255"/>
                <wp:effectExtent l="0" t="4445" r="1270" b="6350"/>
                <wp:wrapNone/>
                <wp:docPr id="1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293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flip:y;margin-left:1.45pt;margin-top:11.15pt;height:0.65pt;width:145.9pt;z-index:251662336;mso-width-relative:page;mso-height-relative:page;" filled="f" stroked="t" coordsize="21600,21600" o:gfxdata="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JXxtYAAAAH&#10;AQAADwAAAAAAAAABACAAAAAiAAAAZHJzL2Rvd25yZXYueG1sUEsBAhQAFAAAAAgAh07iQMpH0NTl&#10;AQAA7Q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63C57C">
      <w:pPr>
        <w:rPr>
          <w:rFonts w:hint="default" w:ascii="Times New Roman" w:hAnsi="Times New Roman" w:cs="Times New Roman"/>
          <w:sz w:val="28"/>
          <w:szCs w:val="28"/>
        </w:rPr>
      </w:pPr>
    </w:p>
    <w:p w14:paraId="08AADE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t xml:space="preserve"> Ghi cụ thể cơ quan, người có thẩm quyền bảo quản, xử lý vật chứng; cơ quan, tổ chức, cá nhân có liên quan</w:t>
      </w:r>
    </w:p>
    <w:p w14:paraId="125D6460">
      <w:pPr>
        <w:pStyle w:val="7"/>
        <w:jc w:val="both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Ghi chức danh người ký</w:t>
      </w: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1472</Characters>
  <Lines>15</Lines>
  <Paragraphs>4</Paragraphs>
  <TotalTime>50</TotalTime>
  <ScaleCrop>false</ScaleCrop>
  <LinksUpToDate>false</LinksUpToDate>
  <CharactersWithSpaces>1608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2026-05-29T13:56:23Z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