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129540</wp:posOffset>
                </wp:positionV>
                <wp:extent cx="247904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04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2062644150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2pt;height:35.5pt;mso-wrap-distance-left:9.05pt;mso-wrap-distance-right:9.05pt;mso-wrap-distance-top:0pt;mso-wrap-distance-bottom:0pt;margin-top:10.2pt;mso-position-vertical-relative:text;margin-left:298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10756531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25400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2pt" to="134.9pt,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THÔNG BÁO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Cho người bào chữa về thời gian, địa điểm tiến hành hoạt động tố tụng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79 của Bộ luật Tố tụng hình sự;  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131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,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Ngày … tháng … năm …,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sẽ tiến hành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{{document.field}}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thông báo cho người bào chữa biết để tham gia; nếu ông/bà không có mặt thì Viện kiểm sát vẫn tiến hành hoạt động tố tụng nêu trên theo quy định của Bộ luật Tố tụng hình sự/Luật Tư pháp người chưa thành niên./.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8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336"/>
      </w:tblGrid>
      <w:tr>
        <w:trPr/>
        <w:tc>
          <w:tcPr>
            <w:tcW w:w="5529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 w:before="20" w:after="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Người bào chữa; 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r>
        <w:rPr>
          <w:rFonts w:cs="Times New Roman" w:ascii="Times New Roman" w:hAnsi="Times New Roman"/>
        </w:rPr>
        <w:t xml:space="preserve">hi căn cứ này trong trường hợp </w:t>
      </w:r>
      <w:r>
        <w:rPr>
          <w:rFonts w:cs="Times New Roman" w:ascii="Times New Roman" w:hAnsi="Times New Roman"/>
          <w:lang w:val="en-US"/>
        </w:rPr>
        <w:t>thông báo hoạt động tố tụng cho người bào chữa của</w:t>
      </w:r>
      <w:r>
        <w:rPr>
          <w:rFonts w:cs="Times New Roman" w:ascii="Times New Roman" w:hAnsi="Times New Roman"/>
        </w:rPr>
        <w:t xml:space="preserve"> người chưa thành niên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hoạt động tố tụng (hỏi cung, lấy lời khai, đối chất,...)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buộc tội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2018-01-06T10:08:00Z</dcterms:created>
  <dc:creator>PC</dc:creator>
  <dc:description/>
  <cp:keywords/>
  <dc:language>en-GB</dc:language>
  <cp:lastModifiedBy>PC</cp:lastModifiedBy>
  <dcterms:modified xsi:type="dcterms:W3CDTF">2026-01-27T17:08:00Z</dcterms:modified>
  <cp:revision>27</cp:revision>
  <dc:subject/>
  <dc:title/>
</cp:coreProperties>
</file>