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3412490</wp:posOffset>
                </wp:positionH>
                <wp:positionV relativeFrom="paragraph">
                  <wp:posOffset>85090</wp:posOffset>
                </wp:positionV>
                <wp:extent cx="2507615" cy="4406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615" cy="4406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8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45pt;height:34.7pt;mso-wrap-distance-left:9.05pt;mso-wrap-distance-right:9.05pt;mso-wrap-distance-top:0pt;mso-wrap-distance-bottom:0pt;margin-top:6.7pt;mso-position-vertical-relative:text;margin-left:268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8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9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23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452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45720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3.6pt" to="136.7pt,3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Cs/>
                <w:sz w:val="10"/>
                <w:szCs w:val="10"/>
              </w:rPr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45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  <w:lang w:val="en-GB" w:eastAsia="en-GB"/>
              </w:rPr>
            </w:pPr>
            <w:r>
              <w:rPr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22225</wp:posOffset>
                      </wp:positionV>
                      <wp:extent cx="1943100" cy="0"/>
                      <wp:effectExtent l="0" t="5080" r="0" b="5080"/>
                      <wp:wrapNone/>
                      <wp:docPr id="3" name="Line 38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5.15pt,1.75pt" to="208.1pt,1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Cs/>
              </w:rPr>
            </w:pPr>
            <w:r>
              <w:rPr>
                <w:iCs/>
              </w:rPr>
              <w:t xml:space="preserve">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  <w:lang w:val="en-US"/>
              </w:rPr>
            </w:pPr>
            <w:r>
              <w:rPr>
                <w:iCs/>
              </w:rPr>
              <w:t xml:space="preserve">       </w:t>
            </w: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</w:t>
            </w:r>
            <w:r>
              <w:rPr>
                <w:i/>
                <w:iCs/>
                <w:lang w:val="en-US"/>
              </w:rPr>
              <w:t>…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TÁCH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/>
      </w:pPr>
      <w:r>
        <w:rPr/>
        <w:t xml:space="preserve">     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>Căn cứ  Điều 41</w:t>
      </w:r>
      <w:r>
        <w:rPr>
          <w:lang w:val="en-US"/>
        </w:rPr>
        <w:t xml:space="preserve"> và Điều</w:t>
      </w:r>
      <w:r>
        <w:rPr/>
        <w:t xml:space="preserve"> 170 </w:t>
      </w:r>
      <w:r>
        <w:rPr>
          <w:lang w:val="en-US"/>
        </w:rPr>
        <w:t xml:space="preserve">của </w:t>
      </w:r>
      <w:r>
        <w:rPr/>
        <w:t>Bộ luật Tố tụng hình sự</w:t>
      </w:r>
      <w:r>
        <w:rPr>
          <w:lang w:val="en-US"/>
        </w:rPr>
        <w:t xml:space="preserve">; 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 xml:space="preserve">Căn cứ  </w:t>
      </w:r>
      <w:r>
        <w:rPr>
          <w:lang w:val="en-US"/>
        </w:rPr>
        <w:t>Điều 143 của Luật Tư pháp người chưa thành niên</w:t>
      </w:r>
      <w:r>
        <w:rPr>
          <w:rStyle w:val="FootnoteCharacters"/>
          <w:rStyle w:val="FootnoteReference"/>
          <w:lang w:val="en-US"/>
        </w:rPr>
        <w:footnoteReference w:id="6"/>
      </w:r>
      <w:r>
        <w:rPr/>
        <w:t>;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 xml:space="preserve">Xét </w:t>
      </w:r>
      <w:r>
        <w:rPr>
          <w:lang w:val="en-US"/>
        </w:rPr>
        <w:t xml:space="preserve">thấy </w:t>
      </w:r>
      <w:r>
        <w:rPr/>
        <w:t>Quyết định tách vụ án hình sự số … ngày … tháng … năm … của</w:t>
      </w:r>
      <w:bookmarkStart w:id="0" w:name="_Hlk501202250"/>
      <w:r>
        <w:rPr>
          <w:rStyle w:val="FootnoteCharacters"/>
          <w:rStyle w:val="FootnoteReference"/>
        </w:rPr>
        <w:footnoteReference w:id="7"/>
      </w:r>
      <w:bookmarkEnd w:id="0"/>
      <w:r>
        <w:rPr/>
        <w:t>…</w:t>
      </w:r>
      <w:r>
        <w:rPr>
          <w:lang w:val="en-US"/>
        </w:rPr>
        <w:t xml:space="preserve"> </w:t>
      </w:r>
      <w:r>
        <w:rPr/>
        <w:t xml:space="preserve">không </w:t>
      </w:r>
      <w:r>
        <w:rPr>
          <w:lang w:val="en-US"/>
        </w:rPr>
        <w:t xml:space="preserve">đúng </w:t>
      </w:r>
      <w:r>
        <w:rPr/>
        <w:t xml:space="preserve">quy định </w:t>
      </w:r>
      <w:r>
        <w:rPr>
          <w:lang w:val="en-US"/>
        </w:rPr>
        <w:t xml:space="preserve">tại </w:t>
      </w:r>
      <w:r>
        <w:rPr/>
        <w:t xml:space="preserve">khoản 2 Điều 170 </w:t>
      </w:r>
      <w:r>
        <w:rPr>
          <w:lang w:val="en-US"/>
        </w:rPr>
        <w:t xml:space="preserve">của </w:t>
      </w:r>
      <w:r>
        <w:rPr/>
        <w:t>Bộ luật Tố tụng hình sự</w:t>
      </w:r>
      <w:r>
        <w:rPr>
          <w:lang w:val="en-US"/>
        </w:rPr>
        <w:t>/ Điều 143 của Luật Tư pháp người chưa thành niên</w:t>
      </w:r>
      <w:r>
        <w:rPr/>
        <w:t>,</w:t>
      </w:r>
      <w:r>
        <w:rPr>
          <w:lang w:val="en-US"/>
        </w:rPr>
        <w:t xml:space="preserve"> 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tách vụ án hình sự số … ngày … tháng … năm … của</w:t>
      </w:r>
      <w:r>
        <w:rPr>
          <w:vertAlign w:val="superscript"/>
          <w:lang w:val="en-US"/>
        </w:rPr>
        <w:t>6</w:t>
      </w:r>
      <w:r>
        <w:rPr/>
        <w:t>…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spacing w:val="-2"/>
          <w:lang w:val="en-US"/>
        </w:rPr>
        <w:t xml:space="preserve">Điều </w:t>
      </w:r>
      <w:r>
        <w:rPr>
          <w:b/>
          <w:spacing w:val="-2"/>
        </w:rPr>
        <w:t>2.</w:t>
      </w:r>
      <w:r>
        <w:rPr>
          <w:spacing w:val="-2"/>
        </w:rPr>
        <w:t xml:space="preserve"> Giữ nguyên Quyết định khởi tố vụ án hình sự số … ngày … tháng … năm … của</w:t>
      </w:r>
      <w:r>
        <w:rPr>
          <w:rStyle w:val="FootnoteCharacters"/>
          <w:rStyle w:val="FootnoteReference"/>
          <w:spacing w:val="-2"/>
        </w:rPr>
        <w:footnoteReference w:id="8"/>
      </w:r>
      <w:r>
        <w:rPr>
          <w:spacing w:val="-2"/>
        </w:rPr>
        <w:t>…</w:t>
      </w:r>
      <w:r>
        <w:rPr>
          <w:spacing w:val="-2"/>
          <w:lang w:val="en-US"/>
        </w:rPr>
        <w:t xml:space="preserve"> </w:t>
      </w:r>
      <w:r>
        <w:rPr>
          <w:spacing w:val="-2"/>
        </w:rPr>
        <w:t>để tiếp tục điều tra theo quy định của Bộ luật Tố tụng hình sự./.</w:t>
      </w:r>
    </w:p>
    <w:p>
      <w:pPr>
        <w:pStyle w:val="Normal"/>
        <w:spacing w:before="0" w:after="0"/>
        <w:jc w:val="both"/>
        <w:rPr>
          <w:spacing w:val="-2"/>
          <w:u w:val="single"/>
        </w:rPr>
      </w:pPr>
      <w:r>
        <w:rPr>
          <w:spacing w:val="-2"/>
          <w:u w:val="single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295"/>
      </w:tblGrid>
      <w:tr>
        <w:trPr>
          <w:trHeight w:val="1747" w:hRule="atLeast"/>
        </w:trPr>
        <w:tc>
          <w:tcPr>
            <w:tcW w:w="5245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6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7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29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 xml:space="preserve">    </w:t>
            </w:r>
            <w:r>
              <w:rPr>
                <w:rStyle w:val="FootnoteCharacters"/>
                <w:rStyle w:val="FootnoteReference"/>
                <w:b/>
                <w:bCs/>
                <w:szCs w:val="26"/>
              </w:rPr>
              <w:footnoteReference w:id="9"/>
            </w:r>
            <w:r>
              <w:rPr>
                <w:b/>
                <w:bCs/>
                <w:sz w:val="24"/>
                <w:lang w:val="en-US"/>
              </w:rPr>
              <w:t>……………………………</w:t>
            </w:r>
            <w:r>
              <w:rPr>
                <w:b/>
                <w:bCs/>
                <w:sz w:val="24"/>
                <w:lang w:val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   </w:t>
            </w:r>
            <w:r>
              <w:rPr>
                <w:bCs/>
                <w:i/>
                <w:iCs/>
                <w:sz w:val="24"/>
                <w:szCs w:val="24"/>
              </w:rPr>
              <w:t>(Ký, ghi rõ họ tên, đóng dấu)</w:t>
            </w:r>
          </w:p>
          <w:p>
            <w:pPr>
              <w:pStyle w:val="Normal"/>
              <w:spacing w:before="0" w:after="0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bCs/>
          <w:sz w:val="22"/>
        </w:rPr>
      </w:pPr>
      <w:r>
        <w:rPr>
          <w:bCs/>
          <w:sz w:val="22"/>
        </w:rPr>
      </w:r>
    </w:p>
    <w:p>
      <w:pPr>
        <w:pStyle w:val="Normal"/>
        <w:spacing w:before="0" w:after="0"/>
        <w:rPr>
          <w:bCs/>
          <w:sz w:val="22"/>
        </w:rPr>
      </w:pPr>
      <w:r>
        <w:rPr>
          <w:bCs/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Chỉ ghi căn cứ này trong trường hợp vụ án có bị can là người chưa thành niên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ra Quyết định </w:t>
      </w:r>
      <w:r>
        <w:rPr>
          <w:rFonts w:cs="Times New Roman" w:ascii="Times New Roman" w:hAnsi="Times New Roman"/>
        </w:rPr>
        <w:t>tách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2017-12-26T14:12:00Z</dcterms:created>
  <dc:creator>Nguyen Duc Minh</dc:creator>
  <dc:description/>
  <cp:keywords/>
  <dc:language>en-GB</dc:language>
  <cp:lastModifiedBy>ADMIN</cp:lastModifiedBy>
  <cp:lastPrinted>2026-01-08T10:05:00Z</cp:lastPrinted>
  <dcterms:modified xsi:type="dcterms:W3CDTF">2026-01-16T05:29:00Z</dcterms:modified>
  <cp:revision>60</cp:revision>
  <dc:subject/>
  <dc:title/>
</cp:coreProperties>
</file>