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954"/>
      </w:tblGrid>
      <w:tr>
        <w:trPr>
          <w:trHeight w:val="1681" w:hRule="atLeast"/>
        </w:trPr>
        <w:tc>
          <w:tcPr>
            <w:tcW w:w="368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pt,4.2pt" to="132.5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tabs>
                <w:tab w:val="clear" w:pos="720"/>
                <w:tab w:val="left" w:pos="1950" w:leader="none"/>
              </w:tabs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tabs>
                <w:tab w:val="clear" w:pos="720"/>
                <w:tab w:val="left" w:pos="2160" w:leader="none"/>
                <w:tab w:val="center" w:pos="3006" w:leader="none"/>
              </w:tabs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4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95pt,2.1pt" to="219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</w:rPr>
              <w:tab/>
            </w:r>
            <w:r>
              <w:rPr>
                <w:rFonts w:cs="Times New Roman" w:ascii="Times New Roman" w:hAnsi="Times New Roman"/>
                <w:iCs/>
              </w:rPr>
              <w:t xml:space="preserve">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-1633855</wp:posOffset>
                </wp:positionV>
                <wp:extent cx="2649855" cy="5715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8.65pt;height:45pt;mso-wrap-distance-left:9.05pt;mso-wrap-distance-right:9.05pt;mso-wrap-distance-top:0pt;mso-wrap-distance-bottom:0pt;margin-top:-128.65pt;mso-position-vertical-relative:text;margin-left:319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567" w:end="0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... về tội … quy định tại khoản … Điều … của Bộ luật Hình sự;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 </w:t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Bổ sung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Bộ luật Hình sự.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… tiến hành điều tra theo quy định của Bộ luật Tố tụng hình sự./.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53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ind w:hanging="108" w:end="0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Căn cứ thêm Điều 433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nếu bị can là pháp nhân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lý do bổ sung Quyết định khởi tố bị can (theo quy định tại khoản 2 Điều 180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điều tra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2017-12-26T15:16:00Z</dcterms:created>
  <dc:creator>PC</dc:creator>
  <dc:description/>
  <cp:keywords/>
  <dc:language>en-GB</dc:language>
  <cp:lastModifiedBy>PC</cp:lastModifiedBy>
  <cp:lastPrinted>2026-01-08T12:54:00Z</cp:lastPrinted>
  <dcterms:modified xsi:type="dcterms:W3CDTF">2026-01-29T16:15:00Z</dcterms:modified>
  <cp:revision>33</cp:revision>
  <dc:subject/>
  <dc:title/>
</cp:coreProperties>
</file>