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3950335</wp:posOffset>
                </wp:positionH>
                <wp:positionV relativeFrom="paragraph">
                  <wp:posOffset>156845</wp:posOffset>
                </wp:positionV>
                <wp:extent cx="2334260" cy="4470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260" cy="447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8pt;height:35.2pt;mso-wrap-distance-left:9.05pt;mso-wrap-distance-right:9.05pt;mso-wrap-distance-top:0pt;mso-wrap-distance-bottom:0pt;margin-top:12.35pt;mso-position-vertical-relative:text;margin-left:311.0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110/HS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13970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1pt,1.1pt" to="134.6pt,1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979170</wp:posOffset>
                      </wp:positionH>
                      <wp:positionV relativeFrom="paragraph">
                        <wp:posOffset>16510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1pt,1.3pt" to="230.05pt,1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ĐÌNH CHỈ ĐIỀU TRA VỤ ÁN HÌNH SỰ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 và 230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Quyết định đình chỉ điều tra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Quyết định đình chỉ điều tra vụ án hình sự là không có căn cứ và trái pháp luật,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đình chỉ điều tra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bCs/>
          <w:sz w:val="24"/>
          <w:vertAlign w:val="superscript"/>
        </w:rPr>
        <w:t>6</w:t>
      </w:r>
      <w:r>
        <w:rPr>
          <w:rFonts w:cs="Times New Roman" w:ascii="Times New Roman" w:hAnsi="Times New Roman"/>
        </w:rPr>
        <w:t>… về tội … quy định tại khoản … Điều … của Bộ luật Hình sự.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bCs/>
          <w:sz w:val="24"/>
          <w:vertAlign w:val="superscript"/>
        </w:rPr>
        <w:t>6</w:t>
      </w:r>
      <w:r>
        <w:rPr>
          <w:rFonts w:cs="Times New Roman" w:ascii="Times New Roman" w:hAnsi="Times New Roman"/>
          <w:lang w:val="fr-FR"/>
        </w:rPr>
        <w:t>… giải quyết vụ án 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136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8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  <w:lang w:val="vi-VN"/>
        </w:rPr>
        <w:t>ra Quyết định đình chỉ điều tra vụ án hình sự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2018-01-05T10:27:00Z</dcterms:created>
  <dc:creator>apple</dc:creator>
  <dc:description/>
  <cp:keywords/>
  <dc:language>en-GB</dc:language>
  <cp:lastModifiedBy>PC</cp:lastModifiedBy>
  <dcterms:modified xsi:type="dcterms:W3CDTF">2026-01-30T16:02:00Z</dcterms:modified>
  <cp:revision>44</cp:revision>
  <dc:subject/>
  <dc:title/>
</cp:coreProperties>
</file>