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519430</wp:posOffset>
                      </wp:positionH>
                      <wp:positionV relativeFrom="paragraph">
                        <wp:posOffset>42545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9pt,3.35pt" to="135.4pt,3.3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987425</wp:posOffset>
                      </wp:positionH>
                      <wp:positionV relativeFrom="paragraph">
                        <wp:posOffset>27940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75pt,2.2pt" to="230.7pt,2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3956050</wp:posOffset>
                </wp:positionH>
                <wp:positionV relativeFrom="paragraph">
                  <wp:posOffset>-1525270</wp:posOffset>
                </wp:positionV>
                <wp:extent cx="2353310" cy="45720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310" cy="457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111/HS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5.3pt;height:36pt;mso-wrap-distance-left:9.05pt;mso-wrap-distance-right:9.05pt;mso-wrap-distance-top:0pt;mso-wrap-distance-bottom:0pt;margin-top:-120.1pt;mso-position-vertical-relative:text;margin-left:311.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111/HS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HỦY BỎ QUYẾT ĐỊNH ĐÌNH CHỈ ĐIỀU TRA BỊ CAN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{{agency.vienKiem}}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165 và 230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Xét Quyết định đình chỉ điều tra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 …… đối với</w:t>
      </w:r>
      <w:r>
        <w:rPr>
          <w:rFonts w:cs="Times New Roman" w:ascii="Times New Roman" w:hAnsi="Times New Roman"/>
          <w:sz w:val="32"/>
          <w:szCs w:val="28"/>
          <w:vertAlign w:val="superscript"/>
        </w:rPr>
        <w:t>8</w:t>
      </w:r>
      <w:r>
        <w:rPr>
          <w:rFonts w:cs="Times New Roman" w:ascii="Times New Roman" w:hAnsi="Times New Roman"/>
        </w:rPr>
        <w:t>… về tội … quy định tại khoản … Điều …  của Bộ luật Hình sự; 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</w:rPr>
        <w:t xml:space="preserve">Nhận thấy Quyết định đình chỉ </w:t>
      </w:r>
      <w:r>
        <w:rPr>
          <w:rFonts w:cs="Times New Roman" w:ascii="Times New Roman" w:hAnsi="Times New Roman"/>
          <w:spacing w:val="-4"/>
        </w:rPr>
        <w:t>điều tra bị can là không có căn cứ và trái pháp luật,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8"/>
          <w:szCs w:val="28"/>
        </w:rPr>
      </w:pPr>
      <w:r>
        <w:rPr>
          <w:rFonts w:cs="Times New Roman" w:ascii="Times New Roman" w:hAnsi="Times New Roman"/>
          <w:b/>
          <w:spacing w:val="-8"/>
          <w:szCs w:val="28"/>
        </w:rPr>
        <w:t>Điều 1.</w:t>
      </w:r>
      <w:r>
        <w:rPr>
          <w:rFonts w:cs="Times New Roman" w:ascii="Times New Roman" w:hAnsi="Times New Roman"/>
          <w:spacing w:val="-8"/>
          <w:szCs w:val="28"/>
        </w:rPr>
        <w:t xml:space="preserve"> Hủy bỏ Quyết định đình chỉ điều tra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pacing w:val="-8"/>
          <w:szCs w:val="28"/>
        </w:rPr>
        <w:t>của</w:t>
      </w:r>
      <w:r>
        <w:rPr>
          <w:rFonts w:cs="Times New Roman" w:ascii="Times New Roman" w:hAnsi="Times New Roman"/>
          <w:bCs/>
          <w:spacing w:val="-8"/>
          <w:szCs w:val="28"/>
          <w:vertAlign w:val="superscript"/>
        </w:rPr>
        <w:t xml:space="preserve">9 </w:t>
      </w:r>
      <w:r>
        <w:rPr>
          <w:rFonts w:cs="Times New Roman" w:ascii="Times New Roman" w:hAnsi="Times New Roman"/>
          <w:spacing w:val="-8"/>
          <w:szCs w:val="28"/>
        </w:rPr>
        <w:t>… đối với</w:t>
      </w:r>
      <w:r>
        <w:rPr>
          <w:rFonts w:cs="Times New Roman" w:ascii="Times New Roman" w:hAnsi="Times New Roman"/>
          <w:spacing w:val="-8"/>
          <w:szCs w:val="28"/>
          <w:vertAlign w:val="superscript"/>
        </w:rPr>
        <w:t>8</w:t>
      </w:r>
      <w:r>
        <w:rPr>
          <w:rFonts w:cs="Times New Roman" w:ascii="Times New Roman" w:hAnsi="Times New Roman"/>
          <w:spacing w:val="-8"/>
          <w:szCs w:val="28"/>
        </w:rPr>
        <w:t xml:space="preserve"> …</w:t>
      </w:r>
      <w:r>
        <w:rPr>
          <w:rFonts w:eastAsia="Times New Roman" w:cs="Times New Roman" w:ascii="Times New Roman" w:hAnsi="Times New Roman"/>
          <w:spacing w:val="-8"/>
          <w:szCs w:val="28"/>
        </w:rPr>
        <w:t xml:space="preserve"> </w:t>
      </w:r>
      <w:r>
        <w:rPr>
          <w:rFonts w:cs="Times New Roman" w:ascii="Times New Roman" w:hAnsi="Times New Roman"/>
        </w:rPr>
        <w:t xml:space="preserve">về tội … quy định tại khoản … Điều … </w:t>
      </w:r>
      <w:r>
        <w:rPr>
          <w:rFonts w:cs="Times New Roman" w:ascii="Times New Roman" w:hAnsi="Times New Roman"/>
          <w:spacing w:val="-8"/>
          <w:szCs w:val="28"/>
        </w:rPr>
        <w:t>của Bộ luật Hình sự. 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fr-FR"/>
        </w:rPr>
        <w:t>Yêu cầu</w:t>
      </w:r>
      <w:r>
        <w:rPr>
          <w:rFonts w:cs="Times New Roman" w:ascii="Times New Roman" w:hAnsi="Times New Roman"/>
          <w:bCs/>
          <w:sz w:val="24"/>
          <w:vertAlign w:val="superscript"/>
        </w:rPr>
        <w:t>9</w:t>
      </w:r>
      <w:r>
        <w:rPr>
          <w:rFonts w:cs="Times New Roman" w:ascii="Times New Roman" w:hAnsi="Times New Roman"/>
          <w:lang w:val="fr-FR"/>
        </w:rPr>
        <w:t>… giải quyết vụ án theo quy định của Bộ luật Tố tụng hình sự.</w:t>
      </w:r>
      <w:r>
        <w:rPr>
          <w:rFonts w:cs="Times New Roman" w:ascii="Times New Roman" w:hAnsi="Times New Roman"/>
        </w:rPr>
        <w:t>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459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696"/>
        <w:gridCol w:w="4696"/>
      </w:tblGrid>
      <w:tr>
        <w:trPr>
          <w:trHeight w:val="1747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{{document.soQuyet}}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{{agency.diaDanh}}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69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{{document.ngayBan}}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  <w:tc>
          <w:tcPr>
            <w:tcW w:w="469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jc w:val="center"/>
              <w:outlineLvl w:val="1"/>
              <w:rPr>
                <w:rStyle w:val="FootnoteCharacters"/>
                <w:rFonts w:ascii="Times New Roman" w:hAnsi="Times New Roman" w:cs="Times New Roman"/>
                <w:b/>
                <w:bCs/>
                <w:szCs w:val="26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jc w:val="both"/>
        <w:rPr>
          <w:rStyle w:val="FootnoteCharacters"/>
          <w:rFonts w:ascii="Times New Roman" w:hAnsi="Times New Roman" w:cs="Times New Roman"/>
          <w:b/>
          <w:bCs/>
          <w:sz w:val="22"/>
          <w:szCs w:val="22"/>
        </w:rPr>
      </w:pPr>
      <w:r>
        <w:rPr/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hủy bỏ Quyết định đình chỉ điều tra bị can là pháp nhân thì bổ sung căn cứ Điều 443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</w:t>
      </w:r>
      <w:r>
        <w:rPr>
          <w:rFonts w:cs="Times New Roman" w:ascii="Times New Roman" w:hAnsi="Times New Roman"/>
          <w:lang w:val="vi-VN"/>
        </w:rPr>
        <w:t>cơ quan</w:t>
      </w:r>
      <w:r>
        <w:rPr>
          <w:rFonts w:cs="Times New Roman" w:ascii="Times New Roman" w:hAnsi="Times New Roman"/>
          <w:lang w:val="en-US"/>
        </w:rPr>
        <w:t>, người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có thẩm quyền </w:t>
      </w:r>
      <w:r>
        <w:rPr>
          <w:rFonts w:cs="Times New Roman" w:ascii="Times New Roman" w:hAnsi="Times New Roman"/>
          <w:lang w:val="vi-VN"/>
        </w:rPr>
        <w:t>ra Quyết định đình chỉ điều tra bị can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2018-01-05T09:31:00Z</dcterms:created>
  <dc:creator>apple</dc:creator>
  <dc:description/>
  <cp:keywords/>
  <dc:language>en-GB</dc:language>
  <cp:lastModifiedBy>PC</cp:lastModifiedBy>
  <dcterms:modified xsi:type="dcterms:W3CDTF">2026-01-30T16:04:00Z</dcterms:modified>
  <cp:revision>62</cp:revision>
  <dc:subject/>
  <dc:title/>
</cp:coreProperties>
</file>