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26035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2.05pt" to="131.9pt,2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1567180</wp:posOffset>
                      </wp:positionH>
                      <wp:positionV relativeFrom="paragraph">
                        <wp:posOffset>-518795</wp:posOffset>
                      </wp:positionV>
                      <wp:extent cx="2321560" cy="509905"/>
                      <wp:effectExtent l="0" t="0" r="0" b="0"/>
                      <wp:wrapNone/>
                      <wp:docPr id="2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21560" cy="50990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182/HS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82.8pt;height:40.15pt;mso-wrap-distance-left:9.05pt;mso-wrap-distance-right:9.05pt;mso-wrap-distance-top:0pt;mso-wrap-distance-bottom:0pt;margin-top:-40.85pt;mso-position-vertical-relative:text;margin-left:123.4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1002665</wp:posOffset>
                      </wp:positionH>
                      <wp:positionV relativeFrom="paragraph">
                        <wp:posOffset>11430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8.95pt,0.9pt" to="231.9pt,0.9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HỦY BỎ QUYẾT ĐỊNH ÁP DỤNG THỦ TỤC RÚT GỌN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zCs w:val="28"/>
        </w:rPr>
        <w:t xml:space="preserve">Căn cứ các điều 41, </w:t>
      </w:r>
      <w:r>
        <w:rPr>
          <w:rFonts w:cs="Times New Roman" w:ascii="Times New Roman" w:hAnsi="Times New Roman"/>
          <w:spacing w:val="-12"/>
          <w:szCs w:val="28"/>
        </w:rPr>
        <w:t>165/236</w:t>
      </w:r>
      <w:r>
        <w:rPr>
          <w:rStyle w:val="FootnoteCharacters"/>
          <w:rStyle w:val="FootnoteReference"/>
          <w:rFonts w:cs="Times New Roman" w:ascii="Times New Roman" w:hAnsi="Times New Roman"/>
          <w:spacing w:val="-12"/>
          <w:szCs w:val="28"/>
        </w:rPr>
        <w:footnoteReference w:id="7"/>
      </w:r>
      <w:r>
        <w:rPr>
          <w:rFonts w:cs="Times New Roman" w:ascii="Times New Roman" w:hAnsi="Times New Roman"/>
          <w:spacing w:val="-12"/>
          <w:szCs w:val="28"/>
        </w:rPr>
        <w:t>, 456, 457 và 458 của Bộ luật Tố tụng</w:t>
      </w:r>
      <w:r>
        <w:rPr>
          <w:rFonts w:cs="Times New Roman" w:ascii="Times New Roman" w:hAnsi="Times New Roman"/>
          <w:szCs w:val="28"/>
        </w:rPr>
        <w:t xml:space="preserve"> hình sự/khoản 7 Điều 55 của Luật Tư pháp người chưa thành niên;</w:t>
      </w:r>
    </w:p>
    <w:p>
      <w:pPr>
        <w:pStyle w:val="Normal"/>
        <w:ind w:firstLine="720" w:end="0"/>
        <w:jc w:val="both"/>
        <w:rPr/>
      </w:pPr>
      <w:bookmarkStart w:id="1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… </w:t>
      </w:r>
      <w:bookmarkEnd w:id="1"/>
      <w:r>
        <w:rPr>
          <w:rFonts w:cs="Times New Roman" w:ascii="Times New Roman" w:hAnsi="Times New Roman"/>
        </w:rPr>
        <w:t xml:space="preserve"> về tội … quy định tại khoản … Điều … </w:t>
      </w:r>
      <w:r>
        <w:rPr>
          <w:rFonts w:cs="Times New Roman" w:ascii="Times New Roman" w:hAnsi="Times New Roman"/>
          <w:szCs w:val="28"/>
        </w:rPr>
        <w:t xml:space="preserve">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9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10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Xét Quyết định áp dụng thủ tục rút gọn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 xml:space="preserve">…;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szCs w:val="28"/>
        </w:rPr>
        <w:t>Nhận thấy</w:t>
      </w:r>
      <w:r>
        <w:rPr>
          <w:rFonts w:cs="Times New Roman" w:ascii="Times New Roman" w:hAnsi="Times New Roman"/>
          <w:szCs w:val="28"/>
          <w:vertAlign w:val="superscript"/>
        </w:rPr>
        <w:t>11</w:t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  <w:t>QUYẾT ĐỊNH:</w:t>
      </w:r>
    </w:p>
    <w:p>
      <w:pPr>
        <w:pStyle w:val="Normal"/>
        <w:ind w:firstLine="69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spacing w:val="-6"/>
        </w:rPr>
        <w:t>Điều 1.</w:t>
      </w:r>
      <w:r>
        <w:rPr>
          <w:rFonts w:cs="Times New Roman" w:ascii="Times New Roman" w:hAnsi="Times New Roman"/>
          <w:spacing w:val="-6"/>
        </w:rPr>
        <w:t xml:space="preserve"> Hủy bỏ Quyết định áp dụng thủ tục rút gọn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>….</w:t>
      </w:r>
    </w:p>
    <w:p>
      <w:pPr>
        <w:pStyle w:val="Normal"/>
        <w:ind w:firstLine="697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12</w:t>
      </w:r>
      <w:r>
        <w:rPr>
          <w:rFonts w:cs="Times New Roman" w:ascii="Times New Roman" w:hAnsi="Times New Roman"/>
        </w:rPr>
        <w:t>… giải quyết vụ án theo thủ tục chung</w:t>
      </w:r>
      <w:r>
        <w:rPr>
          <w:rFonts w:cs="Times New Roman" w:ascii="Times New Roman" w:hAnsi="Times New Roman"/>
          <w:vertAlign w:val="superscript"/>
        </w:rPr>
        <w:t>13</w:t>
      </w:r>
      <w:r>
        <w:rPr>
          <w:rFonts w:cs="Times New Roman" w:ascii="Times New Roman" w:hAnsi="Times New Roman"/>
          <w:spacing w:val="-6"/>
        </w:rPr>
        <w:t>./.</w:t>
      </w:r>
    </w:p>
    <w:p>
      <w:pPr>
        <w:pStyle w:val="Normal"/>
        <w:ind w:firstLine="697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12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14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Mẫu này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dùng</w:t>
      </w:r>
      <w:r>
        <w:rPr>
          <w:rFonts w:cs="Times New Roman" w:ascii="Times New Roman" w:hAnsi="Times New Roman"/>
          <w:lang w:val="vi-VN"/>
        </w:rPr>
        <w:t xml:space="preserve"> trong trường hợp Viện kiểm sát </w:t>
      </w:r>
      <w:r>
        <w:rPr>
          <w:rFonts w:cs="Times New Roman" w:ascii="Times New Roman" w:hAnsi="Times New Roman"/>
          <w:lang w:val="en-US"/>
        </w:rPr>
        <w:t>hủy</w:t>
      </w:r>
      <w:r>
        <w:rPr>
          <w:rFonts w:cs="Times New Roman" w:ascii="Times New Roman" w:hAnsi="Times New Roman"/>
          <w:lang w:val="vi-VN"/>
        </w:rPr>
        <w:t xml:space="preserve"> bỏ Quyết định áp dụng thủ tục rút gọn do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điều tra ra hoặc Viện kiểm sát tự </w:t>
      </w:r>
      <w:r>
        <w:rPr>
          <w:rFonts w:cs="Times New Roman" w:ascii="Times New Roman" w:hAnsi="Times New Roman"/>
          <w:lang w:val="en-US"/>
        </w:rPr>
        <w:t>hủy</w:t>
      </w:r>
      <w:r>
        <w:rPr>
          <w:rFonts w:cs="Times New Roman" w:ascii="Times New Roman" w:hAnsi="Times New Roman"/>
          <w:lang w:val="vi-VN"/>
        </w:rPr>
        <w:t xml:space="preserve"> bỏ Quyết định áp dụng thủ tục rút gọn do mình ra hoặc Viện kiểm sát cấp trên </w:t>
      </w:r>
      <w:r>
        <w:rPr>
          <w:rFonts w:cs="Times New Roman" w:ascii="Times New Roman" w:hAnsi="Times New Roman"/>
          <w:lang w:val="en-US"/>
        </w:rPr>
        <w:t>hủy</w:t>
      </w:r>
      <w:r>
        <w:rPr>
          <w:rFonts w:cs="Times New Roman" w:ascii="Times New Roman" w:hAnsi="Times New Roman"/>
          <w:lang w:val="vi-VN"/>
        </w:rPr>
        <w:t xml:space="preserve"> bỏ Quyết định áp dụng thủ tục rút gọn do Viện kiểm sát cấp dưới ra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Trường hợp hủy bỏ </w:t>
      </w:r>
      <w:r>
        <w:rPr>
          <w:rFonts w:cs="Times New Roman" w:ascii="Times New Roman" w:hAnsi="Times New Roman"/>
          <w:lang w:val="vi-VN"/>
        </w:rPr>
        <w:t>Quyết định áp dụng thủ tục rút gọn trong giai đoạn điều tra thì căn cứ Điều 165</w:t>
      </w:r>
      <w:r>
        <w:rPr>
          <w:rFonts w:cs="Times New Roman" w:ascii="Times New Roman" w:hAnsi="Times New Roman"/>
          <w:szCs w:val="28"/>
        </w:rPr>
        <w:t xml:space="preserve"> của Bộ luật Tố tụng hình sự</w:t>
      </w:r>
      <w:r>
        <w:rPr>
          <w:rFonts w:cs="Times New Roman" w:ascii="Times New Roman" w:hAnsi="Times New Roman"/>
          <w:lang w:val="vi-VN"/>
        </w:rPr>
        <w:t>; trong giai đoạn truy tố thì căn cứ Điều 236</w:t>
      </w:r>
      <w:r>
        <w:rPr>
          <w:rFonts w:cs="Times New Roman" w:ascii="Times New Roman" w:hAnsi="Times New Roman"/>
          <w:szCs w:val="28"/>
        </w:rPr>
        <w:t xml:space="preserve"> của Bộ luật Tố tụng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hoặc tên pháp nhân bị khởi tố 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t</w:t>
      </w:r>
      <w:r>
        <w:rPr>
          <w:rFonts w:cs="Times New Roman" w:ascii="Times New Roman" w:hAnsi="Times New Roman"/>
          <w:lang w:val="vi-VN"/>
        </w:rPr>
        <w:t>ên cơ quan</w:t>
      </w:r>
      <w:r>
        <w:rPr>
          <w:rFonts w:cs="Times New Roman" w:ascii="Times New Roman" w:hAnsi="Times New Roman"/>
          <w:lang w:val="en-US"/>
        </w:rPr>
        <w:t>, người</w:t>
      </w:r>
      <w:r>
        <w:rPr>
          <w:rFonts w:cs="Times New Roman" w:ascii="Times New Roman" w:hAnsi="Times New Roman"/>
          <w:lang w:val="vi-VN"/>
        </w:rPr>
        <w:t xml:space="preserve"> ra Quyết định</w:t>
      </w:r>
      <w:r>
        <w:rPr>
          <w:rFonts w:cs="Times New Roman" w:ascii="Times New Roman" w:hAnsi="Times New Roman"/>
          <w:lang w:val="en-US"/>
        </w:rPr>
        <w:t xml:space="preserve"> áp dụng thủ tục rút gọn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Ghi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>hủy</w:t>
      </w:r>
      <w:r>
        <w:rPr>
          <w:rFonts w:cs="Times New Roman" w:ascii="Times New Roman" w:hAnsi="Times New Roman"/>
          <w:lang w:val="vi-VN"/>
        </w:rPr>
        <w:t xml:space="preserve"> bỏ Quyết định áp dụng thủ tục rút gọn theo quy định tại khoản 3 Điều 457 và Điều 458 </w:t>
      </w:r>
      <w:r>
        <w:rPr>
          <w:rFonts w:cs="Times New Roman" w:ascii="Times New Roman" w:hAnsi="Times New Roman"/>
          <w:szCs w:val="28"/>
        </w:rPr>
        <w:t>của Bộ luật Tố tụng hình sự</w:t>
      </w:r>
      <w:r>
        <w:rPr>
          <w:rFonts w:cs="Times New Roman" w:ascii="Times New Roman" w:hAnsi="Times New Roman"/>
          <w:lang w:val="en-US"/>
        </w:rPr>
        <w:t>/khoản 7 Điều 55 của Luật Tư pháp người chưa thành niên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12</w:t>
      </w:r>
      <w:r>
        <w:rPr>
          <w:rFonts w:cs="Times New Roman" w:ascii="Times New Roman" w:hAnsi="Times New Roman"/>
          <w:lang w:val="en-US"/>
        </w:rPr>
        <w:t xml:space="preserve"> Ghi tên cơ quan, người có thẩm quyền điều tra, Viện kiểm sát cấp dưới (nếu có)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13</w:t>
      </w:r>
      <w:r>
        <w:rPr>
          <w:rFonts w:cs="Times New Roman" w:ascii="Times New Roman" w:hAnsi="Times New Roman"/>
          <w:lang w:val="vi-VN"/>
        </w:rPr>
        <w:t xml:space="preserve"> Trường hợp </w:t>
      </w:r>
      <w:r>
        <w:rPr>
          <w:rFonts w:cs="Times New Roman" w:ascii="Times New Roman" w:hAnsi="Times New Roman"/>
          <w:lang w:val="en-US"/>
        </w:rPr>
        <w:t>Viện trưởng Viện kiểm sát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hủy</w:t>
      </w:r>
      <w:r>
        <w:rPr>
          <w:rFonts w:cs="Times New Roman" w:ascii="Times New Roman" w:hAnsi="Times New Roman"/>
          <w:lang w:val="vi-VN"/>
        </w:rPr>
        <w:t xml:space="preserve"> bỏ Quyết định áp dụng thủ tục rút gọn </w:t>
      </w:r>
      <w:r>
        <w:rPr>
          <w:rFonts w:cs="Times New Roman" w:ascii="Times New Roman" w:hAnsi="Times New Roman"/>
          <w:lang w:val="en-US"/>
        </w:rPr>
        <w:t>của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Phó Viện trưởng Viện kiểm sát</w:t>
      </w:r>
      <w:r>
        <w:rPr>
          <w:rFonts w:cs="Times New Roman" w:ascii="Times New Roman" w:hAnsi="Times New Roman"/>
          <w:lang w:val="vi-VN"/>
        </w:rPr>
        <w:t xml:space="preserve"> cấp </w:t>
      </w:r>
      <w:r>
        <w:rPr>
          <w:rFonts w:cs="Times New Roman" w:ascii="Times New Roman" w:hAnsi="Times New Roman"/>
          <w:lang w:val="en-US"/>
        </w:rPr>
        <w:t>mình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thì ghi: “Viện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 xml:space="preserve">… tiếp tục </w:t>
      </w:r>
      <w:r>
        <w:rPr>
          <w:rFonts w:cs="Times New Roman" w:ascii="Times New Roman" w:hAnsi="Times New Roman"/>
        </w:rPr>
        <w:t>giải quyết vụ án theo thủ tục chung”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14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2025-12-25T01:28:00Z</dcterms:created>
  <dc:creator>apple</dc:creator>
  <dc:description/>
  <cp:keywords/>
  <dc:language>en-GB</dc:language>
  <cp:lastModifiedBy>PC</cp:lastModifiedBy>
  <cp:lastPrinted>2026-01-08T10:33:00Z</cp:lastPrinted>
  <dcterms:modified xsi:type="dcterms:W3CDTF">2026-01-30T17:48:00Z</dcterms:modified>
  <cp:revision>20</cp:revision>
  <dc:subject/>
  <dc:title/>
</cp:coreProperties>
</file>