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3865880</wp:posOffset>
                </wp:positionH>
                <wp:positionV relativeFrom="paragraph">
                  <wp:posOffset>139065</wp:posOffset>
                </wp:positionV>
                <wp:extent cx="2231390" cy="4597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390" cy="459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65pt;height:146.9pt" filled="f" o:ole="">
                                  <v:imagedata r:id="rId3" o:title=""/>
                                </v:shape>
                                <o:OLEObject Type="Embed" ProgID="Excel.Sheet.12" ShapeID="ole_rId2" DrawAspect="Content" ObjectID="_871644693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75.7pt;height:36.2pt;mso-wrap-distance-left:9.05pt;mso-wrap-distance-right:9.05pt;mso-wrap-distance-top:0pt;mso-wrap-distance-bottom:0pt;margin-top:10.95pt;mso-position-vertical-relative:text;margin-left:304.4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65pt;height:146.9pt" filled="f" o:ole="">
                            <v:imagedata r:id="rId5" o:title=""/>
                          </v:shape>
                          <o:OLEObject Type="Embed" ProgID="Excel.Sheet.12" ShapeID="ole_rId4" DrawAspect="Content" ObjectID="_657311434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6141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54610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4.3pt" to="123.7pt,4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141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14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</w:rPr>
              <w:footnoteReference w:id="5"/>
            </w:r>
            <w:r>
              <w:rPr>
                <w:rFonts w:cs="Times New Roman" w:ascii="Times New Roman" w:hAnsi="Times New Roman"/>
                <w:i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YÊU CẦU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Xây dựng Kế hoạch xử lý chuyển hướng/Kế hoạch xử lý chuyển hướng bổ sung</w:t>
      </w:r>
    </w:p>
    <w:p>
      <w:pPr>
        <w:pStyle w:val="Normal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</w:t>
      </w:r>
      <w:r>
        <w:rPr>
          <w:rFonts w:cs="Times New Roman" w:ascii="Times New Roman" w:hAnsi="Times New Roman"/>
          <w:b/>
          <w:bCs/>
          <w:sz w:val="24"/>
          <w:lang w:val="vi-VN"/>
        </w:rPr>
        <w:t>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</w:rPr>
        <w:t>…</w:t>
      </w:r>
    </w:p>
    <w:p>
      <w:pPr>
        <w:pStyle w:val="Normal"/>
        <w:rPr>
          <w:rFonts w:ascii="Times New Roman" w:hAnsi="Times New Roman" w:cs="Times New Roman"/>
          <w:b/>
          <w:bCs/>
          <w:strike/>
          <w:sz w:val="24"/>
        </w:rPr>
      </w:pPr>
      <w:r>
        <w:rPr>
          <w:rFonts w:cs="Times New Roman" w:ascii="Times New Roman" w:hAnsi="Times New Roman"/>
          <w:b/>
          <w:bCs/>
          <w:strike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</w:rPr>
        <w:t>Căn cứ Điều 55 và Điều 58 của Luật Tư pháp người chưa thành niên;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đang thụ lý, giải quyết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…, có nội dung diễn biến như sau: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YÊU CẦU:</w:t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Người làm công tác xã hội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xây dựng Kế hoạch xử lý chuyển hướng/</w:t>
      </w:r>
      <w:r>
        <w:rPr>
          <w:rFonts w:cs="Times New Roman" w:ascii="Times New Roman" w:hAnsi="Times New Roman"/>
          <w:iCs/>
        </w:rPr>
        <w:t>Kế hoạch xử lý chuyển hướng bổ sung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iCs/>
        </w:rPr>
        <w:t>đối với</w:t>
      </w:r>
      <w:r>
        <w:rPr>
          <w:rFonts w:cs="Times New Roman" w:ascii="Times New Roman" w:hAnsi="Times New Roman"/>
        </w:rPr>
        <w:t>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{{recipients.personLine}}</w:t>
        <w:tab/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Là bị can trong vụ án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 bị khởi tố về tội … quy định tại khoản … Điều … của Bộ luật Hình sự.</w:t>
      </w:r>
    </w:p>
    <w:p>
      <w:pPr>
        <w:pStyle w:val="Normal"/>
        <w:ind w:firstLine="709" w:end="3"/>
        <w:jc w:val="both"/>
        <w:rPr/>
      </w:pPr>
      <w:r>
        <w:rPr>
          <w:rFonts w:cs="Times New Roman" w:ascii="Times New Roman" w:hAnsi="Times New Roman"/>
          <w:b/>
          <w:strike/>
        </w:rPr>
        <w:t>2.</w:t>
      </w:r>
      <w:r>
        <w:rPr>
          <w:rFonts w:cs="Times New Roman" w:ascii="Times New Roman" w:hAnsi="Times New Roman"/>
          <w:strike/>
        </w:rPr>
        <w:t xml:space="preserve"> Người làm công tác xã hội</w:t>
      </w:r>
      <w:r>
        <w:rPr>
          <w:rFonts w:cs="Times New Roman" w:ascii="Times New Roman" w:hAnsi="Times New Roman"/>
          <w:strike/>
          <w:vertAlign w:val="superscript"/>
        </w:rPr>
        <w:t>8</w:t>
      </w:r>
      <w:r>
        <w:rPr>
          <w:rFonts w:cs="Times New Roman" w:ascii="Times New Roman" w:hAnsi="Times New Roman"/>
          <w:strike/>
        </w:rPr>
        <w:t xml:space="preserve">…thực hiện việc xây dựng Kế hoạch xử lý chuyển hướng/ </w:t>
      </w:r>
      <w:r>
        <w:rPr>
          <w:rFonts w:cs="Times New Roman" w:ascii="Times New Roman" w:hAnsi="Times New Roman"/>
          <w:iCs/>
          <w:strike/>
        </w:rPr>
        <w:t xml:space="preserve">Kế hoạch xử lý chuyển hướng </w:t>
      </w:r>
      <w:r>
        <w:rPr>
          <w:rFonts w:cs="Times New Roman" w:ascii="Times New Roman" w:hAnsi="Times New Roman"/>
          <w:strike/>
        </w:rPr>
        <w:t>bổ sung và gửi đến Viện kiểm sát</w:t>
      </w:r>
      <w:r>
        <w:rPr>
          <w:rFonts w:cs="Times New Roman" w:ascii="Times New Roman" w:hAnsi="Times New Roman"/>
          <w:strike/>
          <w:vertAlign w:val="superscript"/>
        </w:rPr>
        <w:t>2</w:t>
      </w:r>
      <w:r>
        <w:rPr>
          <w:rFonts w:cs="Times New Roman" w:ascii="Times New Roman" w:hAnsi="Times New Roman"/>
          <w:strike/>
        </w:rPr>
        <w:t>… trong thời hạn</w:t>
      </w:r>
      <w:r>
        <w:rPr>
          <w:rStyle w:val="FootnoteCharacters"/>
          <w:rStyle w:val="FootnoteReference"/>
          <w:rFonts w:cs="Times New Roman" w:ascii="Times New Roman" w:hAnsi="Times New Roman"/>
          <w:strike/>
        </w:rPr>
        <w:footnoteReference w:id="11"/>
      </w:r>
      <w:r>
        <w:rPr>
          <w:rFonts w:cs="Times New Roman" w:ascii="Times New Roman" w:hAnsi="Times New Roman"/>
          <w:strike/>
        </w:rPr>
        <w:t xml:space="preserve">… kể từ ngày nhận được Yêu cầu./. </w:t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4"/>
        <w:gridCol w:w="3804"/>
      </w:tblGrid>
      <w:tr>
        <w:trPr/>
        <w:tc>
          <w:tcPr>
            <w:tcW w:w="6204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0"/>
                <w:szCs w:val="20"/>
              </w:rPr>
              <w:t>Nơi nhận</w:t>
            </w:r>
            <w:r>
              <w:rPr>
                <w:rFonts w:cs="Times New Roman" w:ascii="Times New Roman" w:hAnsi="Times New Roman"/>
                <w:i/>
                <w:iCs/>
                <w:sz w:val="20"/>
                <w:szCs w:val="20"/>
              </w:rPr>
              <w:t>: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- </w:t>
            </w:r>
            <w:r>
              <w:rPr>
                <w:rFonts w:cs="Times New Roman" w:ascii="Times New Roman" w:hAnsi="Times New Roman"/>
                <w:sz w:val="18"/>
                <w:szCs w:val="18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…; </w:t>
            </w:r>
            <w:r>
              <w:rPr>
                <w:rFonts w:cs="Times New Roman" w:ascii="Times New Roman" w:hAnsi="Times New Roman"/>
                <w:sz w:val="18"/>
                <w:szCs w:val="18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…; 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- Người đại diện, người bào chữa của người chưa thành niên;</w:t>
            </w:r>
          </w:p>
          <w:p>
            <w:pPr>
              <w:pStyle w:val="Normal"/>
              <w:jc w:val="both"/>
              <w:rPr>
                <w:rFonts w:ascii="Times New Roman" w:hAnsi="Times New Roman" w:eastAsia="MS Mincho;ＭＳ 明朝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- Lưu: HSVA, HSKS, VP.</w:t>
            </w:r>
          </w:p>
          <w:p>
            <w:pPr>
              <w:pStyle w:val="Normal"/>
              <w:tabs>
                <w:tab w:val="clear" w:pos="720"/>
                <w:tab w:val="left" w:pos="1650" w:leader="none"/>
              </w:tabs>
              <w:rPr>
                <w:rFonts w:ascii="Times New Roman" w:hAnsi="Times New Roman" w:eastAsia="MS Mincho;ＭＳ 明朝" w:cs="Times New Roman"/>
              </w:rPr>
            </w:pPr>
            <w:r>
              <w:rPr>
                <w:rFonts w:eastAsia="MS Mincho;ＭＳ 明朝" w:cs="Times New Roman" w:ascii="Times New Roman" w:hAnsi="Times New Roman"/>
              </w:rPr>
              <w:tab/>
            </w:r>
          </w:p>
          <w:p>
            <w:pPr>
              <w:pStyle w:val="Normal"/>
              <w:tabs>
                <w:tab w:val="clear" w:pos="720"/>
                <w:tab w:val="left" w:pos="1650" w:leader="none"/>
              </w:tabs>
              <w:rPr>
                <w:rFonts w:ascii="Times New Roman" w:hAnsi="Times New Roman" w:eastAsia="MS Mincho;ＭＳ 明朝" w:cs="Times New Roman"/>
              </w:rPr>
            </w:pPr>
            <w:r>
              <w:rPr>
                <w:rFonts w:eastAsia="MS Mincho;ＭＳ 明朝" w:cs="Times New Roman" w:ascii="Times New Roman" w:hAnsi="Times New Roman"/>
              </w:rPr>
            </w:r>
          </w:p>
        </w:tc>
        <w:tc>
          <w:tcPr>
            <w:tcW w:w="380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{{recipients.field}}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eastAsia="MS Mincho;ＭＳ 明朝" w:cs="Times New Roman"/>
                <w:b/>
                <w:i/>
                <w:sz w:val="24"/>
              </w:rPr>
            </w:pPr>
            <w:r>
              <w:rPr>
                <w:rFonts w:eastAsia="MS Mincho;ＭＳ 明朝" w:cs="Times New Roman" w:ascii="Times New Roman" w:hAnsi="Times New Roman"/>
                <w:b/>
                <w:i/>
                <w:sz w:val="24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MS Mincho;ＭＳ 明朝" w:cs="Times New Roman"/>
                <w:b/>
              </w:rPr>
            </w:pPr>
            <w:r>
              <w:rPr>
                <w:rFonts w:eastAsia="MS Mincho;ＭＳ 明朝" w:cs="Times New Roman" w:ascii="Times New Roman" w:hAnsi="Times New Roman"/>
                <w:b/>
              </w:rPr>
            </w:r>
          </w:p>
        </w:tc>
      </w:tr>
    </w:tbl>
    <w:p>
      <w:pPr>
        <w:pStyle w:val="Normal"/>
        <w:autoSpaceDE w:val="false"/>
        <w:spacing w:before="6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20"/>
          <w:tab w:val="left" w:pos="3559" w:leader="none"/>
        </w:tabs>
        <w:autoSpaceDE w:val="false"/>
        <w:spacing w:before="6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</w:t>
      </w:r>
      <w:bookmarkStart w:id="0" w:name="_Hlk203743081"/>
      <w:r>
        <w:rPr>
          <w:rFonts w:cs="Times New Roman" w:ascii="Times New Roman" w:hAnsi="Times New Roman"/>
        </w:rPr>
        <w:t xml:space="preserve">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  <w:bookmarkEnd w:id="0"/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N</w:t>
      </w:r>
      <w:r>
        <w:rPr>
          <w:rFonts w:cs="Times New Roman" w:ascii="Times New Roman" w:hAnsi="Times New Roman"/>
        </w:rPr>
        <w:t xml:space="preserve">êu </w:t>
      </w:r>
      <w:r>
        <w:rPr>
          <w:rFonts w:cs="Times New Roman" w:ascii="Times New Roman" w:hAnsi="Times New Roman"/>
          <w:lang w:val="en-US"/>
        </w:rPr>
        <w:t>tóm tắt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nội dung vụ án; </w:t>
      </w:r>
      <w:r>
        <w:rPr>
          <w:rFonts w:cs="Times New Roman" w:ascii="Times New Roman" w:hAnsi="Times New Roman"/>
        </w:rPr>
        <w:t>tính chất, mức độ hành vi của người chưa thành niên có hành vi phạm tội; căn cứ áp dụng, tên biện pháp xử lý chuyển hướng tại cộng đồng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lý do yêu cầu xây dựng </w:t>
      </w:r>
      <w:r>
        <w:rPr>
          <w:rFonts w:cs="Times New Roman" w:ascii="Times New Roman" w:hAnsi="Times New Roman"/>
          <w:lang w:val="en-US"/>
        </w:rPr>
        <w:t>K</w:t>
      </w:r>
      <w:r>
        <w:rPr>
          <w:rFonts w:cs="Times New Roman" w:ascii="Times New Roman" w:hAnsi="Times New Roman"/>
        </w:rPr>
        <w:t>ế hoạch xử lý chuyển hướng</w:t>
      </w:r>
      <w:r>
        <w:rPr>
          <w:rFonts w:cs="Times New Roman" w:ascii="Times New Roman" w:hAnsi="Times New Roman"/>
          <w:lang w:val="en-US"/>
        </w:rPr>
        <w:t>/K</w:t>
      </w:r>
      <w:r>
        <w:rPr>
          <w:rFonts w:cs="Times New Roman" w:ascii="Times New Roman" w:hAnsi="Times New Roman"/>
        </w:rPr>
        <w:t>ế hoạch xử lý chuyển hướng bổ sung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 xml:space="preserve">họ </w:t>
      </w:r>
      <w:r>
        <w:rPr>
          <w:rFonts w:cs="Times New Roman" w:ascii="Times New Roman" w:hAnsi="Times New Roman"/>
        </w:rPr>
        <w:t>tên người làm công tác xã hội được yêu cầu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 xml:space="preserve">chưa thành niên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rõ 07 ngày</w:t>
      </w:r>
      <w:r>
        <w:rPr>
          <w:rFonts w:cs="Times New Roman" w:ascii="Times New Roman" w:hAnsi="Times New Roman"/>
          <w:lang w:val="en-US"/>
        </w:rPr>
        <w:t xml:space="preserve"> đối với </w:t>
      </w:r>
      <w:r>
        <w:rPr>
          <w:rFonts w:cs="Times New Roman" w:ascii="Times New Roman" w:hAnsi="Times New Roman"/>
        </w:rPr>
        <w:t>Kế hoạch xử lý chuyển hướng, 03 ngày</w:t>
      </w:r>
      <w:r>
        <w:rPr>
          <w:rFonts w:cs="Times New Roman" w:ascii="Times New Roman" w:hAnsi="Times New Roman"/>
          <w:lang w:val="en-US"/>
        </w:rPr>
        <w:t xml:space="preserve"> đối với </w:t>
      </w:r>
      <w:r>
        <w:rPr>
          <w:rFonts w:cs="Times New Roman" w:ascii="Times New Roman" w:hAnsi="Times New Roman"/>
        </w:rPr>
        <w:t>Kế hoạch xử lý chuyển hướng bổ sung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2025-08-11T06:45:00Z</dcterms:created>
  <dc:creator>PC</dc:creator>
  <dc:description/>
  <cp:keywords/>
  <dc:language>en-GB</dc:language>
  <cp:lastModifiedBy>PC</cp:lastModifiedBy>
  <cp:lastPrinted>2026-01-08T10:37:00Z</cp:lastPrinted>
  <dcterms:modified xsi:type="dcterms:W3CDTF">2026-01-28T14:50:00Z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52c25d28-e472-4681-9249-ee1df267c4c7</vt:lpwstr>
  </property>
</Properties>
</file>