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Cs w:val="26"/>
          <w:lang w:val="en-GB" w:eastAsia="en-GB"/>
        </w:rPr>
      </w:pPr>
      <w:r>
        <w:rPr>
          <w:rFonts w:cs="Times New Roman" w:ascii="Times New Roman" w:hAnsi="Times New Roman"/>
          <w:bCs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-277495</wp:posOffset>
                </wp:positionV>
                <wp:extent cx="2334895" cy="5010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895" cy="5010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3.85pt;height:39.45pt;mso-wrap-distance-left:9.05pt;mso-wrap-distance-right:9.05pt;mso-wrap-distance-top:0pt;mso-wrap-distance-bottom:0pt;margin-top:-21.85pt;mso-position-vertical-relative:text;margin-left:296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lineRule="auto" w:line="240"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454025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15pt,35.75pt" to="152.65pt,35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YÊU CẦU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Thực hiện thủ tục đề nghị Tòa án xem xét, quyết </w:t>
      </w:r>
      <w:r>
        <w:rPr>
          <w:rFonts w:cs="Times New Roman" w:hint="eastAsia" w:ascii="Times New Roman" w:hAnsi="Times New Roman"/>
          <w:b/>
          <w:bCs/>
          <w:szCs w:val="28"/>
        </w:rPr>
        <w:t>đ</w:t>
      </w:r>
      <w:r>
        <w:rPr>
          <w:rFonts w:cs="Times New Roman" w:ascii="Times New Roman" w:hAnsi="Times New Roman"/>
          <w:b/>
          <w:bCs/>
          <w:szCs w:val="28"/>
        </w:rPr>
        <w:t xml:space="preserve">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biện pháp giáo dục tại tr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ờng giáo d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ỡng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điều 35, 37, 39, 51, 55 và 63 của Luật Tư pháp người chưa thành niên;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spacing w:before="80" w:after="80"/>
        <w:ind w:firstLine="720" w:end="6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Nhận thấy bị can</w:t>
      </w:r>
      <w:r>
        <w:rPr>
          <w:rFonts w:cs="Times New Roman" w:ascii="Times New Roman" w:hAnsi="Times New Roman"/>
          <w:spacing w:val="-4"/>
          <w:vertAlign w:val="superscript"/>
        </w:rPr>
        <w:t>7</w:t>
      </w:r>
      <w:r>
        <w:rPr>
          <w:rFonts w:cs="Times New Roman" w:ascii="Times New Roman" w:hAnsi="Times New Roman"/>
          <w:spacing w:val="-4"/>
        </w:rPr>
        <w:t>… là người chưa thành niên thuộc trường hợp và đủ điều kiện áp dụng biện pháp giáo dục tại trường giáo dưỡng,</w:t>
      </w:r>
    </w:p>
    <w:p>
      <w:pPr>
        <w:pStyle w:val="Normal"/>
        <w:spacing w:before="80" w:after="80"/>
        <w:ind w:end="6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spacing w:before="80" w:after="80"/>
        <w:ind w:firstLine="709" w:end="6"/>
        <w:jc w:val="both"/>
        <w:rPr/>
      </w:pPr>
      <w:r>
        <w:rPr>
          <w:rFonts w:cs="Times New Roman" w:ascii="Times New Roman" w:hAnsi="Times New Roman"/>
          <w:b/>
          <w:spacing w:val="-4"/>
        </w:rPr>
        <w:t>1.</w:t>
      </w:r>
      <w:r>
        <w:rPr>
          <w:rFonts w:cs="Times New Roman" w:ascii="Times New Roman" w:hAnsi="Times New Roman"/>
          <w:spacing w:val="-4"/>
        </w:rPr>
        <w:t xml:space="preserve"> Cơ quan, người có thẩm quyền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9"/>
      </w:r>
      <w:r>
        <w:rPr>
          <w:rFonts w:cs="Times New Roman" w:ascii="Times New Roman" w:hAnsi="Times New Roman"/>
          <w:spacing w:val="-4"/>
        </w:rPr>
        <w:t xml:space="preserve">… làm thủ tục </w:t>
      </w:r>
      <w:r>
        <w:rPr>
          <w:rFonts w:cs="Times New Roman" w:hint="eastAsia" w:ascii="Times New Roman" w:hAnsi="Times New Roman"/>
          <w:spacing w:val="-4"/>
        </w:rPr>
        <w:t>đ</w:t>
      </w:r>
      <w:r>
        <w:rPr>
          <w:rFonts w:cs="Times New Roman" w:ascii="Times New Roman" w:hAnsi="Times New Roman"/>
          <w:spacing w:val="-4"/>
        </w:rPr>
        <w:t xml:space="preserve">ề nghị Tòa án có thẩm quyền xem xét, quyết </w:t>
      </w:r>
      <w:r>
        <w:rPr>
          <w:rFonts w:cs="Times New Roman" w:hint="eastAsia" w:ascii="Times New Roman" w:hAnsi="Times New Roman"/>
          <w:spacing w:val="-4"/>
        </w:rPr>
        <w:t>đ</w:t>
      </w:r>
      <w:r>
        <w:rPr>
          <w:rFonts w:cs="Times New Roman" w:ascii="Times New Roman" w:hAnsi="Times New Roman"/>
          <w:spacing w:val="-4"/>
        </w:rPr>
        <w:t>ịnh áp dụng biện pháp giáo dục tại tr</w:t>
      </w:r>
      <w:r>
        <w:rPr>
          <w:rFonts w:cs="Times New Roman" w:hint="eastAsia" w:ascii="Times New Roman" w:hAnsi="Times New Roman"/>
          <w:spacing w:val="-4"/>
        </w:rPr>
        <w:t>ư</w:t>
      </w:r>
      <w:r>
        <w:rPr>
          <w:rFonts w:cs="Times New Roman" w:ascii="Times New Roman" w:hAnsi="Times New Roman"/>
          <w:spacing w:val="-4"/>
        </w:rPr>
        <w:t>ờng giáo d</w:t>
      </w:r>
      <w:r>
        <w:rPr>
          <w:rFonts w:cs="Times New Roman" w:hint="eastAsia" w:ascii="Times New Roman" w:hAnsi="Times New Roman"/>
          <w:spacing w:val="-4"/>
        </w:rPr>
        <w:t>ư</w:t>
      </w:r>
      <w:r>
        <w:rPr>
          <w:rFonts w:cs="Times New Roman" w:ascii="Times New Roman" w:hAnsi="Times New Roman"/>
          <w:spacing w:val="-4"/>
        </w:rPr>
        <w:t>ỡng</w:t>
      </w:r>
      <w:r>
        <w:rPr>
          <w:rFonts w:cs="Times New Roman" w:ascii="Times New Roman" w:hAnsi="Times New Roman"/>
          <w:iCs/>
          <w:spacing w:val="-4"/>
        </w:rPr>
        <w:t xml:space="preserve"> đối với</w:t>
      </w:r>
      <w:r>
        <w:rPr>
          <w:rFonts w:cs="Times New Roman" w:ascii="Times New Roman" w:hAnsi="Times New Roman"/>
          <w:spacing w:val="-4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tính:…..….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cấp:………………..…..…..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b/>
          <w:strike/>
        </w:rPr>
        <w:t>2.</w:t>
      </w:r>
      <w:r>
        <w:rPr>
          <w:rFonts w:cs="Times New Roman" w:ascii="Times New Roman" w:hAnsi="Times New Roman"/>
          <w:strike/>
        </w:rPr>
        <w:t xml:space="preserve"> </w:t>
      </w:r>
      <w:r>
        <w:rPr>
          <w:rFonts w:cs="Times New Roman" w:ascii="Times New Roman" w:hAnsi="Times New Roman"/>
          <w:strike/>
          <w:spacing w:val="-4"/>
        </w:rPr>
        <w:t>Cơ quan, người có thẩm quyền</w:t>
      </w:r>
      <w:r>
        <w:rPr>
          <w:rFonts w:cs="Times New Roman" w:ascii="Times New Roman" w:hAnsi="Times New Roman"/>
          <w:strike/>
          <w:spacing w:val="-4"/>
          <w:vertAlign w:val="superscript"/>
        </w:rPr>
        <w:t>8</w:t>
      </w:r>
      <w:r>
        <w:rPr>
          <w:rFonts w:cs="Times New Roman" w:ascii="Times New Roman" w:hAnsi="Times New Roman"/>
          <w:strike/>
          <w:spacing w:val="-4"/>
        </w:rPr>
        <w:t>… thực hiện các thủ tục theo quy định của Luật Tư pháp người chưa thành niên</w:t>
      </w:r>
      <w:r>
        <w:rPr>
          <w:rFonts w:cs="Times New Roman" w:ascii="Times New Roman" w:hAnsi="Times New Roman"/>
          <w:strike/>
        </w:rPr>
        <w:t>./.</w:t>
      </w:r>
    </w:p>
    <w:tbl>
      <w:tblPr>
        <w:tblW w:w="9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478"/>
      </w:tblGrid>
      <w:tr>
        <w:trPr/>
        <w:tc>
          <w:tcPr>
            <w:tcW w:w="4962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4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  <w:lang w:val="en-US"/>
        </w:rPr>
        <w:t>Ghi tên cơ quan, người có thẩm quyền điều tra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18"/>
          <w:szCs w:val="18"/>
        </w:rPr>
        <w:t xml:space="preserve"> </w:t>
      </w:r>
      <w:r>
        <w:rPr>
          <w:rFonts w:cs="Times New Roman" w:ascii="Times New Roman" w:hAnsi="Times New Roman"/>
          <w:sz w:val="18"/>
          <w:szCs w:val="18"/>
        </w:rPr>
        <w:t>Ghi chức danh người ký</w:t>
      </w:r>
    </w:p>
    <w:p>
      <w:pPr>
        <w:pStyle w:val="FootnoteText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cs="Times New Roman" w:ascii="Times New Roman" w:hAnsi="Times New Roman"/>
          <w:sz w:val="18"/>
          <w:szCs w:val="18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2025-08-11T06:49:00Z</dcterms:created>
  <dc:creator>PC</dc:creator>
  <dc:description/>
  <cp:keywords/>
  <dc:language>en-GB</dc:language>
  <cp:lastModifiedBy>PC</cp:lastModifiedBy>
  <cp:lastPrinted>2026-01-08T10:41:00Z</cp:lastPrinted>
  <dcterms:modified xsi:type="dcterms:W3CDTF">2026-01-30T18:02:00Z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