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3745865</wp:posOffset>
                </wp:positionH>
                <wp:positionV relativeFrom="paragraph">
                  <wp:posOffset>54610</wp:posOffset>
                </wp:positionV>
                <wp:extent cx="2567305" cy="4730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305" cy="4730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194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spacing w:before="0" w:after="0"/>
                              <w:jc w:val="center"/>
                              <w:outlineLvl w:val="3"/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451091866" r:id="rId2"/>
                              </w:objec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2.15pt;height:37.25pt;mso-wrap-distance-left:9.05pt;mso-wrap-distance-right:9.05pt;mso-wrap-distance-top:0pt;mso-wrap-distance-bottom:0pt;margin-top:4.3pt;mso-position-vertical-relative:text;margin-left:294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Mẫu số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194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spacing w:before="0" w:after="0"/>
                        <w:jc w:val="center"/>
                        <w:outlineLvl w:val="3"/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558427432" r:id="rId4"/>
                        </w:objec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0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31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39370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3.1pt" to="123.7pt,3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3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  <w:lang w:val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24765</wp:posOffset>
                      </wp:positionV>
                      <wp:extent cx="1943100" cy="0"/>
                      <wp:effectExtent l="0" t="5080" r="0" b="5080"/>
                      <wp:wrapNone/>
                      <wp:docPr id="3" name="Line 3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2.15pt,1.95pt" to="205.1pt,1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   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20...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H</w:t>
      </w:r>
      <w:r>
        <w:rPr>
          <w:b/>
          <w:bCs/>
          <w:sz w:val="26"/>
          <w:szCs w:val="26"/>
        </w:rPr>
        <w:t>ỦY BỎ QUYẾT ĐỊNH ÁP DỤNG BIỆN PHÁP XỬ LÝ CHUYỂN HƯỚNG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keepNext w:val="true"/>
        <w:numPr>
          <w:ilvl w:val="0"/>
          <w:numId w:val="0"/>
        </w:numPr>
        <w:spacing w:before="0" w:after="0"/>
        <w:jc w:val="center"/>
        <w:outlineLvl w:val="2"/>
        <w:rPr>
          <w:b/>
          <w:bCs/>
          <w:sz w:val="24"/>
        </w:rPr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 xml:space="preserve">… </w:t>
      </w:r>
    </w:p>
    <w:p>
      <w:pPr>
        <w:pStyle w:val="Normal"/>
        <w:spacing w:before="0" w:after="0"/>
        <w:rPr/>
      </w:pPr>
      <w:r>
        <w:rPr/>
        <w:t xml:space="preserve">                       </w:t>
      </w:r>
    </w:p>
    <w:p>
      <w:pPr>
        <w:pStyle w:val="Normal"/>
        <w:spacing w:before="0" w:after="0"/>
        <w:ind w:firstLine="720" w:end="0"/>
        <w:jc w:val="both"/>
        <w:rPr>
          <w:szCs w:val="28"/>
          <w:lang w:val="en-US"/>
        </w:rPr>
      </w:pPr>
      <w:r>
        <w:rPr>
          <w:szCs w:val="28"/>
        </w:rPr>
        <w:t>Căn cứ</w:t>
      </w:r>
      <w:r>
        <w:rPr>
          <w:szCs w:val="28"/>
          <w:lang w:val="en-US"/>
        </w:rPr>
        <w:t xml:space="preserve"> Điều 41 của Bộ luật Tố tụng hình sự và </w:t>
      </w:r>
      <w:r>
        <w:rPr>
          <w:rFonts w:eastAsia="Times New Roman"/>
          <w:szCs w:val="28"/>
        </w:rPr>
        <w:t>khoản 4 Điều 56</w:t>
      </w:r>
      <w:r>
        <w:rPr>
          <w:rFonts w:eastAsia="Times New Roman"/>
          <w:szCs w:val="28"/>
          <w:lang w:val="en-US"/>
        </w:rPr>
        <w:t xml:space="preserve"> của Luật Tư pháp người chưa thành niên</w:t>
      </w:r>
      <w:r>
        <w:rPr>
          <w:szCs w:val="28"/>
        </w:rPr>
        <w:t>;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szCs w:val="28"/>
          <w:lang w:val="en-US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szCs w:val="28"/>
          <w:vertAlign w:val="superscript"/>
          <w:lang w:val="en-US"/>
        </w:rPr>
        <w:footnoteReference w:id="6"/>
      </w:r>
      <w:r>
        <w:rPr>
          <w:szCs w:val="28"/>
          <w:lang w:val="en-US"/>
        </w:rPr>
        <w:t xml:space="preserve"> … về tội … quy định tại khoản … Điều … của Bộ luật Hình sự;</w:t>
      </w:r>
    </w:p>
    <w:p>
      <w:pPr>
        <w:pStyle w:val="Normal"/>
        <w:spacing w:before="0" w:after="0"/>
        <w:ind w:firstLine="720" w:end="0"/>
        <w:jc w:val="both"/>
        <w:rPr>
          <w:szCs w:val="28"/>
          <w:lang w:val="en-US"/>
        </w:rPr>
      </w:pPr>
      <w:r>
        <w:rPr>
          <w:szCs w:val="28"/>
          <w:lang w:val="en-US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szCs w:val="28"/>
          <w:vertAlign w:val="superscript"/>
          <w:lang w:val="en-US"/>
        </w:rPr>
        <w:footnoteReference w:id="7"/>
      </w:r>
      <w:r>
        <w:rPr>
          <w:szCs w:val="28"/>
          <w:lang w:val="en-US"/>
        </w:rPr>
        <w:t>… đối với</w:t>
      </w:r>
      <w:r>
        <w:rPr>
          <w:rStyle w:val="FootnoteReference"/>
          <w:szCs w:val="28"/>
          <w:vertAlign w:val="superscript"/>
          <w:lang w:val="en-US"/>
        </w:rPr>
        <w:footnoteReference w:id="8"/>
      </w:r>
      <w:r>
        <w:rPr>
          <w:szCs w:val="28"/>
          <w:lang w:val="en-US"/>
        </w:rPr>
        <w:t>… về tội … quy định tại khoản … Điều … của Bộ luật Hình sự;</w:t>
      </w:r>
      <w:r>
        <w:rPr>
          <w:szCs w:val="28"/>
        </w:rPr>
        <w:t xml:space="preserve"> </w:t>
      </w:r>
    </w:p>
    <w:p>
      <w:pPr>
        <w:pStyle w:val="Normal"/>
        <w:spacing w:before="0" w:after="0"/>
        <w:ind w:firstLine="720" w:end="0"/>
        <w:jc w:val="both"/>
        <w:rPr>
          <w:b/>
          <w:bCs/>
          <w:sz w:val="24"/>
        </w:rPr>
      </w:pPr>
      <w:r>
        <w:rPr/>
        <w:t>Xét Quyết định áp dụng biện pháp xử lý chuyển hướng</w:t>
      </w:r>
      <w:r>
        <w:rPr>
          <w:lang w:val="en-US"/>
        </w:rPr>
        <w:t xml:space="preserve"> </w:t>
      </w:r>
      <w:r>
        <w:rPr/>
        <w:t>số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ngày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tháng</w:t>
      </w:r>
      <w:r>
        <w:rPr>
          <w:lang w:val="en-US"/>
        </w:rPr>
        <w:t xml:space="preserve"> </w:t>
      </w:r>
      <w:r>
        <w:rPr/>
        <w:t>… năm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của</w:t>
      </w:r>
      <w:r>
        <w:rPr>
          <w:rStyle w:val="FootnoteCharacters"/>
          <w:rStyle w:val="FootnoteReference"/>
        </w:rPr>
        <w:footnoteReference w:id="9"/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7</w:t>
      </w:r>
      <w:r>
        <w:rPr/>
        <w:t>…</w:t>
      </w:r>
      <w:r>
        <w:rPr>
          <w:lang w:val="en-US"/>
        </w:rPr>
        <w:t xml:space="preserve"> </w:t>
      </w:r>
      <w:r>
        <w:rPr/>
        <w:t>là không có căn cứ</w:t>
      </w:r>
      <w:r>
        <w:rPr>
          <w:lang w:val="en-US"/>
        </w:rPr>
        <w:t xml:space="preserve"> và trái pháp luật</w:t>
      </w:r>
      <w:r>
        <w:rPr>
          <w:b/>
          <w:bCs/>
          <w:sz w:val="24"/>
        </w:rPr>
        <w:t>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  <w:t>QUYẾT ĐỊNH:</w:t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áp dụng biện pháp xử lý chuyển hướng số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ngày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tháng</w:t>
      </w:r>
      <w:r>
        <w:rPr>
          <w:lang w:val="en-US"/>
        </w:rPr>
        <w:t xml:space="preserve"> </w:t>
      </w:r>
      <w:r>
        <w:rPr/>
        <w:t>… năm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của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7</w:t>
      </w:r>
      <w:r>
        <w:rPr/>
        <w:t>…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</w:t>
      </w:r>
      <w:r>
        <w:rPr>
          <w:b/>
        </w:rPr>
        <w:t xml:space="preserve"> 2.</w:t>
      </w:r>
      <w:r>
        <w:rPr/>
        <w:t xml:space="preserve"> Yêu cầu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</w:t>
      </w:r>
      <w:r>
        <w:rPr/>
        <w:t>tiếp tục giải quyết vụ án theo quy định của Bộ luật Tố tụng hình sự</w:t>
      </w:r>
      <w:r>
        <w:rPr>
          <w:lang w:val="en-US"/>
        </w:rPr>
        <w:t xml:space="preserve"> và Luật Tư pháp người chưa thành niên/mở lại phiên họp xem xét, quyết định áp dụng biện pháp xử lý chuyển hướng</w:t>
      </w:r>
      <w:r>
        <w:rPr>
          <w:rStyle w:val="FootnoteCharacters"/>
          <w:rStyle w:val="FootnoteReference"/>
        </w:rPr>
        <w:footnoteReference w:id="10"/>
      </w:r>
      <w:r>
        <w:rPr/>
        <w:t>./.</w:t>
      </w:r>
    </w:p>
    <w:p>
      <w:pPr>
        <w:pStyle w:val="Normal"/>
        <w:jc w:val="both"/>
        <w:rPr/>
      </w:pPr>
      <w:r>
        <w:rPr/>
      </w:r>
    </w:p>
    <w:tbl>
      <w:tblPr>
        <w:tblW w:w="103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7"/>
        <w:gridCol w:w="5283"/>
      </w:tblGrid>
      <w:tr>
        <w:trPr>
          <w:trHeight w:val="788" w:hRule="atLeast"/>
        </w:trPr>
        <w:tc>
          <w:tcPr>
            <w:tcW w:w="5087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8</w:t>
            </w:r>
            <w:r>
              <w:rPr>
                <w:sz w:val="22"/>
                <w:lang w:val="en-US"/>
              </w:rPr>
              <w:t xml:space="preserve">…, 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7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Người đại diện của bị can;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Bị hại;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528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 w:val="24"/>
                <w:szCs w:val="26"/>
              </w:rPr>
              <w:footnoteReference w:id="11"/>
            </w:r>
            <w:r>
              <w:rPr>
                <w:b/>
                <w:bCs/>
                <w:sz w:val="24"/>
                <w:lang w:val="en-US"/>
              </w:rPr>
              <w:t>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tabs>
          <w:tab w:val="clear" w:pos="720"/>
          <w:tab w:val="left" w:pos="3030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ra Quyết định áp dụng biện pháp xử lý chuyển hướng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 xml:space="preserve">Viện trưởng </w:t>
      </w:r>
      <w:r>
        <w:rPr>
          <w:rFonts w:cs="Times New Roman" w:ascii="Times New Roman" w:hAnsi="Times New Roman"/>
          <w:lang w:val="vi-VN"/>
        </w:rPr>
        <w:t>Viện kiểm sát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hủy bỏ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 xml:space="preserve">uyết định </w:t>
      </w:r>
      <w:r>
        <w:rPr>
          <w:rFonts w:cs="Times New Roman" w:ascii="Times New Roman" w:hAnsi="Times New Roman"/>
          <w:lang w:val="en-US"/>
        </w:rPr>
        <w:t>áp dụng biện pháp xử lý chuyển hướng</w:t>
      </w:r>
      <w:r>
        <w:rPr>
          <w:rFonts w:cs="Times New Roman" w:ascii="Times New Roman" w:hAnsi="Times New Roman"/>
          <w:lang w:val="vi-VN"/>
        </w:rPr>
        <w:t xml:space="preserve"> của </w:t>
      </w:r>
      <w:r>
        <w:rPr>
          <w:rFonts w:cs="Times New Roman" w:ascii="Times New Roman" w:hAnsi="Times New Roman"/>
          <w:lang w:val="en-US"/>
        </w:rPr>
        <w:t>Phó Viện trưởng Viện kiểm sát cấp mình</w:t>
      </w:r>
      <w:r>
        <w:rPr>
          <w:rFonts w:cs="Times New Roman" w:ascii="Times New Roman" w:hAnsi="Times New Roman"/>
          <w:lang w:val="vi-VN"/>
        </w:rPr>
        <w:t xml:space="preserve"> thì </w:t>
      </w:r>
      <w:r>
        <w:rPr>
          <w:rFonts w:cs="Times New Roman" w:ascii="Times New Roman" w:hAnsi="Times New Roman"/>
          <w:lang w:val="en-US"/>
        </w:rPr>
        <w:t>ghi: “Viện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>… tiếp tục giải quyết theo quy định của Bộ luật Tố tụng hình sự và Luật Tư pháp người chưa thành niên/mở lại phiên họp xem xét, quyết định áp dụng biện pháp xử lý chuyển hướng”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2025-08-12T05:21:00Z</dcterms:created>
  <dc:creator>Nguyen Duc Minh</dc:creator>
  <dc:description/>
  <cp:keywords/>
  <dc:language>en-GB</dc:language>
  <cp:lastModifiedBy>PC</cp:lastModifiedBy>
  <dcterms:modified xsi:type="dcterms:W3CDTF">2026-01-30T18:35:00Z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e21a5428-40d2-4e2d-bd53-98156d899ad5</vt:lpwstr>
  </property>
</Properties>
</file>