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mbeddings/oleObject1.xlsx" ContentType="application/vnd.openxmlformats-officedocument.spreadsheetml.sheet"/>
  <Override PartName="/word/embeddings/oleObject2.xlsx" ContentType="application/vnd.openxmlformats-officedocument.spreadsheetml.shee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0"/>
        <w:rPr>
          <w:lang w:val="en-US" w:eastAsia="en-GB"/>
        </w:rPr>
      </w:pPr>
      <w:r>
        <w:rPr>
          <w:lang w:val="en-US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3745865</wp:posOffset>
                </wp:positionH>
                <wp:positionV relativeFrom="paragraph">
                  <wp:posOffset>54610</wp:posOffset>
                </wp:positionV>
                <wp:extent cx="2567305" cy="47307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7305" cy="4730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Mẫu số 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194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/HS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/TT-VKSTC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spacing w:before="0" w:after="0"/>
                              <w:jc w:val="center"/>
                              <w:outlineLvl w:val="3"/>
                              <w:rPr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>
                                <w:lang w:val="en-GB" w:eastAsia="en-GB"/>
                              </w:rPr>
                            </w:pPr>
                            <w:r>
                              <w:rPr>
                                <w:lang w:val="en-GB" w:eastAsia="en-GB"/>
                              </w:rPr>
                              <w:object w:dxaOrig="3840" w:dyaOrig="2305">
                                <v:shapetype id="_x0000_tole_rId2" coordsize="21600,21600" o:spt="2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2" type="_x0000_tole_rId2" style="width:219.75pt;height:147pt" filled="f" o:ole="">
                                  <v:imagedata r:id="rId3" o:title=""/>
                                </v:shape>
                                <o:OLEObject Type="Embed" ProgID="Excel.Sheet.12" ShapeID="ole_rId2" DrawAspect="Content" ObjectID="_1451091866" r:id="rId2"/>
                              </w:objec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02.15pt;height:37.25pt;mso-wrap-distance-left:9.05pt;mso-wrap-distance-right:9.05pt;mso-wrap-distance-top:0pt;mso-wrap-distance-bottom:0pt;margin-top:4.3pt;mso-position-vertical-relative:text;margin-left:294.9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Mẫu số 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>194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/HS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(Ban hành theo Thông tư số      /202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  <w:lang w:val="en-US"/>
                        </w:rPr>
                        <w:t>6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/TT-VKSTC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ngày       /     /202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  <w:lang w:val="en-US"/>
                        </w:rPr>
                        <w:t>6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)</w:t>
                      </w:r>
                    </w:p>
                    <w:p>
                      <w:pPr>
                        <w:pStyle w:val="Normal"/>
                        <w:keepNext w:val="true"/>
                        <w:numPr>
                          <w:ilvl w:val="0"/>
                          <w:numId w:val="0"/>
                        </w:numPr>
                        <w:spacing w:before="0" w:after="0"/>
                        <w:jc w:val="center"/>
                        <w:outlineLvl w:val="3"/>
                        <w:rPr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>
                          <w:lang w:val="en-GB" w:eastAsia="en-GB"/>
                        </w:rPr>
                      </w:pPr>
                      <w:r>
                        <w:rPr>
                          <w:lang w:val="en-GB" w:eastAsia="en-GB"/>
                        </w:rPr>
                        <w:object w:dxaOrig="3840" w:dyaOrig="2305">
                          <v:shapetype id="_x0000_tole_rId4" coordsize="21600,21600" o:spt="4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4" type="_x0000_tole_rId4" style="width:219.75pt;height:147pt" filled="f" o:ole="">
                            <v:imagedata r:id="rId5" o:title=""/>
                          </v:shape>
                          <o:OLEObject Type="Embed" ProgID="Excel.Sheet.12" ShapeID="ole_rId4" DrawAspect="Content" ObjectID="_1558427432" r:id="rId4"/>
                        </w:objec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en-US"/>
        </w:rPr>
      </w:pPr>
      <w:r>
        <w:rPr>
          <w:lang w:val="en-US"/>
        </w:rPr>
      </w:r>
    </w:p>
    <w:tbl>
      <w:tblPr>
        <w:tblW w:w="909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5310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{{agency.name}}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Cs w:val="24"/>
                <w:lang w:val="en-US" w:eastAsia="en-GB"/>
              </w:rPr>
            </w:pPr>
            <w:r>
              <w:rPr>
                <w:rFonts w:cs="Times New Roman"/>
                <w:b/>
                <w:bCs/>
                <w:szCs w:val="24"/>
                <w:lang w:val="en-US" w:eastAsia="en-GB"/>
              </w:rP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733425</wp:posOffset>
                      </wp:positionH>
                      <wp:positionV relativeFrom="paragraph">
                        <wp:posOffset>39370</wp:posOffset>
                      </wp:positionV>
                      <wp:extent cx="838200" cy="0"/>
                      <wp:effectExtent l="0" t="5080" r="0" b="5080"/>
                      <wp:wrapNone/>
                      <wp:docPr id="2" name="Line 33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380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7.75pt,3.1pt" to="123.7pt,3.1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/>
              <w:t>Số</w:t>
            </w:r>
            <w:r>
              <w:rPr>
                <w:lang w:val="en-US"/>
              </w:rPr>
              <w:t xml:space="preserve">: </w:t>
            </w:r>
            <w:r>
              <w:rPr/>
              <w:t>…/QĐ-VKS…-</w:t>
            </w:r>
            <w:r>
              <w:rPr>
                <w:rStyle w:val="FootnoteCharacters"/>
                <w:rStyle w:val="FootnoteReference"/>
              </w:rPr>
              <w:footnoteReference w:id="4"/>
            </w:r>
            <w:r>
              <w:rPr/>
              <w:t>…</w:t>
            </w:r>
          </w:p>
        </w:tc>
        <w:tc>
          <w:tcPr>
            <w:tcW w:w="531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0"/>
              <w:rPr>
                <w:b/>
                <w:bCs/>
                <w:sz w:val="24"/>
              </w:rPr>
            </w:pPr>
            <w:r>
              <w:rPr>
                <w:b/>
                <w:sz w:val="24"/>
              </w:rPr>
              <w:t xml:space="preserve">CỘNG </w:t>
            </w:r>
            <w:r>
              <w:rPr>
                <w:b/>
                <w:sz w:val="24"/>
                <w:lang w:val="en-US"/>
              </w:rPr>
              <w:t>HÒA</w:t>
            </w:r>
            <w:r>
              <w:rPr>
                <w:b/>
                <w:sz w:val="24"/>
              </w:rPr>
              <w:t xml:space="preserve"> XÃ HỘI CHỦ NGHĨA VIỆT NAM</w:t>
            </w:r>
          </w:p>
          <w:p>
            <w:pPr>
              <w:pStyle w:val="Normal"/>
              <w:spacing w:before="0" w:after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spacing w:before="0" w:after="0"/>
              <w:jc w:val="center"/>
              <w:rPr>
                <w:iCs/>
                <w:lang w:val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662305</wp:posOffset>
                      </wp:positionH>
                      <wp:positionV relativeFrom="paragraph">
                        <wp:posOffset>24765</wp:posOffset>
                      </wp:positionV>
                      <wp:extent cx="1943100" cy="0"/>
                      <wp:effectExtent l="0" t="5080" r="0" b="5080"/>
                      <wp:wrapNone/>
                      <wp:docPr id="3" name="Line 35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2.15pt,1.95pt" to="205.1pt,1.9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iCs/>
              </w:rPr>
              <w:t xml:space="preserve">        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Style w:val="FootnoteCharacters"/>
                <w:rStyle w:val="FootnoteReference"/>
                <w:i/>
                <w:iCs/>
              </w:rPr>
              <w:footnoteReference w:id="5"/>
            </w:r>
            <w:r>
              <w:rPr>
                <w:i/>
                <w:iCs/>
              </w:rPr>
              <w:t>…</w:t>
            </w:r>
            <w:r>
              <w:rPr>
                <w:i/>
                <w:iCs/>
              </w:rPr>
              <w:t>, ngày</w:t>
            </w:r>
            <w:r>
              <w:rPr>
                <w:i/>
                <w:iCs/>
                <w:lang w:val="en-US"/>
              </w:rPr>
              <w:t xml:space="preserve"> </w:t>
            </w:r>
            <w:r>
              <w:rPr>
                <w:i/>
                <w:iCs/>
              </w:rPr>
              <w:t>… tháng</w:t>
            </w:r>
            <w:r>
              <w:rPr>
                <w:i/>
                <w:iCs/>
                <w:lang w:val="en-US"/>
              </w:rPr>
              <w:t xml:space="preserve"> </w:t>
            </w:r>
            <w:r>
              <w:rPr>
                <w:i/>
                <w:iCs/>
              </w:rPr>
              <w:t>{{document.field}}</w:t>
            </w:r>
          </w:p>
        </w:tc>
      </w:tr>
    </w:tbl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</w:rPr>
        <w:t xml:space="preserve">QUYẾT ĐỊNH </w:t>
      </w:r>
    </w:p>
    <w:p>
      <w:pPr>
        <w:pStyle w:val="Normal"/>
        <w:spacing w:before="0" w:after="0"/>
        <w:jc w:val="center"/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H</w:t>
      </w:r>
      <w:r>
        <w:rPr>
          <w:b/>
          <w:bCs/>
          <w:sz w:val="26"/>
          <w:szCs w:val="26"/>
        </w:rPr>
        <w:t>ỦY BỎ QUYẾT ĐỊNH ÁP DỤNG BIỆN PHÁP XỬ LÝ CHUYỂN HƯỚNG</w:t>
      </w:r>
    </w:p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  <w:sz w:val="48"/>
          <w:szCs w:val="48"/>
        </w:rPr>
        <w:t xml:space="preserve"> </w:t>
      </w:r>
    </w:p>
    <w:p>
      <w:pPr>
        <w:pStyle w:val="Normal"/>
        <w:keepNext w:val="true"/>
        <w:numPr>
          <w:ilvl w:val="0"/>
          <w:numId w:val="0"/>
        </w:numPr>
        <w:spacing w:before="0" w:after="0"/>
        <w:jc w:val="center"/>
        <w:outlineLvl w:val="2"/>
        <w:rPr>
          <w:b/>
          <w:bCs/>
          <w:sz w:val="24"/>
        </w:rPr>
      </w:pPr>
      <w:r>
        <w:rPr>
          <w:b/>
          <w:bCs/>
          <w:sz w:val="24"/>
        </w:rPr>
        <w:t>VIỆN TRƯỞNG VIỆN KIỂM SÁT</w:t>
      </w:r>
      <w:r>
        <w:rPr>
          <w:b/>
          <w:bCs/>
          <w:sz w:val="24"/>
          <w:vertAlign w:val="superscript"/>
          <w:lang w:val="en-US"/>
        </w:rPr>
        <w:t>2</w:t>
      </w:r>
      <w:r>
        <w:rPr>
          <w:sz w:val="24"/>
        </w:rPr>
        <w:t xml:space="preserve">… </w:t>
      </w:r>
    </w:p>
    <w:p>
      <w:pPr>
        <w:pStyle w:val="Normal"/>
        <w:spacing w:before="0" w:after="0"/>
        <w:rPr/>
      </w:pPr>
      <w:r>
        <w:rPr/>
        <w:t xml:space="preserve">                       </w:t>
      </w:r>
    </w:p>
    <w:p>
      <w:pPr>
        <w:pStyle w:val="Normal"/>
        <w:spacing w:before="0" w:after="0"/>
        <w:ind w:firstLine="720" w:end="0"/>
        <w:jc w:val="both"/>
        <w:rPr>
          <w:szCs w:val="28"/>
          <w:lang w:val="en-US"/>
        </w:rPr>
      </w:pPr>
      <w:r>
        <w:rPr>
          <w:szCs w:val="28"/>
        </w:rPr>
        <w:t>Căn cứ</w:t>
      </w:r>
      <w:r>
        <w:rPr>
          <w:szCs w:val="28"/>
          <w:lang w:val="en-US"/>
        </w:rPr>
        <w:t xml:space="preserve"> Điều 41 của Bộ luật Tố tụng hình sự và </w:t>
      </w:r>
      <w:r>
        <w:rPr>
          <w:rFonts w:eastAsia="Times New Roman"/>
          <w:szCs w:val="28"/>
        </w:rPr>
        <w:t>khoản 4 Điều 56</w:t>
      </w:r>
      <w:r>
        <w:rPr>
          <w:rFonts w:eastAsia="Times New Roman"/>
          <w:szCs w:val="28"/>
          <w:lang w:val="en-US"/>
        </w:rPr>
        <w:t xml:space="preserve"> của Luật Tư pháp người chưa thành niên</w:t>
      </w:r>
      <w:r>
        <w:rPr>
          <w:szCs w:val="28"/>
        </w:rPr>
        <w:t>;</w:t>
      </w:r>
    </w:p>
    <w:p>
      <w:pPr>
        <w:pStyle w:val="Normal"/>
        <w:spacing w:before="0" w:after="0"/>
        <w:ind w:firstLine="720" w:end="0"/>
        <w:jc w:val="both"/>
        <w:rPr/>
      </w:pPr>
      <w:r>
        <w:rPr>
          <w:szCs w:val="28"/>
          <w:lang w:val="en-US"/>
        </w:rPr>
        <w:t>Căn cứ Quyết định khởi tố vụ án hình sự số … ngày … tháng … năm … (Quyết định thay đổi/bổ sung Quyết định khởi tố vụ án hình sự số … ngày … tháng … năm …, nếu có) của</w:t>
      </w:r>
      <w:r>
        <w:rPr>
          <w:rStyle w:val="FootnoteReference"/>
          <w:szCs w:val="28"/>
          <w:vertAlign w:val="superscript"/>
          <w:lang w:val="en-US"/>
        </w:rPr>
        <w:footnoteReference w:id="6"/>
      </w:r>
      <w:r>
        <w:rPr>
          <w:szCs w:val="28"/>
          <w:lang w:val="en-US"/>
        </w:rPr>
        <w:t xml:space="preserve"> … về tội … quy định tại khoản … Điều … của Bộ luật Hình sự;</w:t>
      </w:r>
    </w:p>
    <w:p>
      <w:pPr>
        <w:pStyle w:val="Normal"/>
        <w:spacing w:before="0" w:after="0"/>
        <w:ind w:firstLine="720" w:end="0"/>
        <w:jc w:val="both"/>
        <w:rPr>
          <w:szCs w:val="28"/>
          <w:lang w:val="en-US"/>
        </w:rPr>
      </w:pPr>
      <w:r>
        <w:rPr>
          <w:szCs w:val="28"/>
          <w:lang w:val="en-US"/>
        </w:rPr>
        <w:t>Căn cứ Quyết định khởi tố bị can số … ngày … tháng … năm … (Quyết định thay đổi/bổ sung Quyết định khởi tố bị can số … ngày … tháng … năm …, nếu có) của</w:t>
      </w:r>
      <w:r>
        <w:rPr>
          <w:rStyle w:val="FootnoteReference"/>
          <w:szCs w:val="28"/>
          <w:vertAlign w:val="superscript"/>
          <w:lang w:val="en-US"/>
        </w:rPr>
        <w:footnoteReference w:id="7"/>
      </w:r>
      <w:r>
        <w:rPr>
          <w:szCs w:val="28"/>
          <w:lang w:val="en-US"/>
        </w:rPr>
        <w:t>… đối với</w:t>
      </w:r>
      <w:r>
        <w:rPr>
          <w:rStyle w:val="FootnoteReference"/>
          <w:szCs w:val="28"/>
          <w:vertAlign w:val="superscript"/>
          <w:lang w:val="en-US"/>
        </w:rPr>
        <w:footnoteReference w:id="8"/>
      </w:r>
      <w:r>
        <w:rPr>
          <w:szCs w:val="28"/>
          <w:lang w:val="en-US"/>
        </w:rPr>
        <w:t>… về tội … quy định tại khoản … Điều … của Bộ luật Hình sự;</w:t>
      </w:r>
      <w:r>
        <w:rPr>
          <w:szCs w:val="28"/>
        </w:rPr>
        <w:t xml:space="preserve"> </w:t>
      </w:r>
    </w:p>
    <w:p>
      <w:pPr>
        <w:pStyle w:val="Normal"/>
        <w:spacing w:before="0" w:after="0"/>
        <w:ind w:firstLine="720" w:end="0"/>
        <w:jc w:val="both"/>
        <w:rPr>
          <w:b/>
          <w:bCs/>
          <w:sz w:val="24"/>
        </w:rPr>
      </w:pPr>
      <w:r>
        <w:rPr/>
        <w:t>Xét Quyết định áp dụng biện pháp xử lý chuyển hướng</w:t>
      </w:r>
      <w:r>
        <w:rPr>
          <w:lang w:val="en-US"/>
        </w:rPr>
        <w:t xml:space="preserve"> </w:t>
      </w:r>
      <w:r>
        <w:rPr/>
        <w:t>số</w:t>
      </w:r>
      <w:r>
        <w:rPr>
          <w:lang w:val="en-US"/>
        </w:rPr>
        <w:t xml:space="preserve"> </w:t>
      </w:r>
      <w:r>
        <w:rPr/>
        <w:t>…</w:t>
      </w:r>
      <w:r>
        <w:rPr>
          <w:lang w:val="en-US"/>
        </w:rPr>
        <w:t xml:space="preserve"> </w:t>
      </w:r>
      <w:r>
        <w:rPr/>
        <w:t>ngày</w:t>
      </w:r>
      <w:r>
        <w:rPr>
          <w:lang w:val="en-US"/>
        </w:rPr>
        <w:t xml:space="preserve"> </w:t>
      </w:r>
      <w:r>
        <w:rPr/>
        <w:t>…</w:t>
      </w:r>
      <w:r>
        <w:rPr>
          <w:lang w:val="en-US"/>
        </w:rPr>
        <w:t xml:space="preserve"> </w:t>
      </w:r>
      <w:r>
        <w:rPr/>
        <w:t>tháng</w:t>
      </w:r>
      <w:r>
        <w:rPr>
          <w:lang w:val="en-US"/>
        </w:rPr>
        <w:t xml:space="preserve"> </w:t>
      </w:r>
      <w:r>
        <w:rPr/>
        <w:t>… năm</w:t>
      </w:r>
      <w:r>
        <w:rPr>
          <w:lang w:val="en-US"/>
        </w:rPr>
        <w:t xml:space="preserve"> </w:t>
      </w:r>
      <w:r>
        <w:rPr/>
        <w:t>…</w:t>
      </w:r>
      <w:r>
        <w:rPr>
          <w:lang w:val="en-US"/>
        </w:rPr>
        <w:t xml:space="preserve"> </w:t>
      </w:r>
      <w:r>
        <w:rPr/>
        <w:t>của</w:t>
      </w:r>
      <w:r>
        <w:rPr>
          <w:rStyle w:val="FootnoteCharacters"/>
          <w:rStyle w:val="FootnoteReference"/>
        </w:rPr>
        <w:footnoteReference w:id="9"/>
      </w:r>
      <w:r>
        <w:rPr/>
        <w:t>…</w:t>
      </w:r>
      <w:r>
        <w:rPr>
          <w:lang w:val="en-US"/>
        </w:rPr>
        <w:t xml:space="preserve"> đối với</w:t>
      </w:r>
      <w:r>
        <w:rPr>
          <w:vertAlign w:val="superscript"/>
          <w:lang w:val="en-US"/>
        </w:rPr>
        <w:t>7</w:t>
      </w:r>
      <w:r>
        <w:rPr/>
        <w:t>…</w:t>
      </w:r>
      <w:r>
        <w:rPr>
          <w:lang w:val="en-US"/>
        </w:rPr>
        <w:t xml:space="preserve"> </w:t>
      </w:r>
      <w:r>
        <w:rPr/>
        <w:t>là không có căn cứ</w:t>
      </w:r>
      <w:r>
        <w:rPr>
          <w:lang w:val="en-US"/>
        </w:rPr>
        <w:t xml:space="preserve"> và trái pháp luật</w:t>
      </w:r>
      <w:r>
        <w:rPr>
          <w:b/>
          <w:bCs/>
          <w:sz w:val="24"/>
        </w:rPr>
        <w:t>,</w:t>
      </w:r>
    </w:p>
    <w:p>
      <w:pPr>
        <w:pStyle w:val="Normal"/>
        <w:spacing w:before="0" w:after="0"/>
        <w:jc w:val="center"/>
        <w:rPr>
          <w:b/>
          <w:bCs/>
          <w:sz w:val="24"/>
          <w:lang w:val="en-US"/>
        </w:rPr>
      </w:pPr>
      <w:r>
        <w:rPr>
          <w:b/>
          <w:bCs/>
          <w:sz w:val="24"/>
          <w:lang w:val="en-US"/>
        </w:rPr>
      </w:r>
    </w:p>
    <w:p>
      <w:pPr>
        <w:pStyle w:val="Normal"/>
        <w:spacing w:before="0" w:after="0"/>
        <w:jc w:val="center"/>
        <w:rPr>
          <w:b/>
          <w:lang w:val="en-US"/>
        </w:rPr>
      </w:pPr>
      <w:r>
        <w:rPr>
          <w:b/>
          <w:lang w:val="en-US"/>
        </w:rPr>
        <w:t>QUYẾT ĐỊNH:</w:t>
      </w:r>
    </w:p>
    <w:p>
      <w:pPr>
        <w:pStyle w:val="Normal"/>
        <w:spacing w:before="0" w:after="0"/>
        <w:jc w:val="center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spacing w:before="0" w:after="0"/>
        <w:ind w:firstLine="720" w:end="0"/>
        <w:jc w:val="both"/>
        <w:rPr>
          <w:lang w:val="en-US"/>
        </w:rPr>
      </w:pPr>
      <w:r>
        <w:rPr>
          <w:b/>
          <w:lang w:val="en-US"/>
        </w:rPr>
        <w:t xml:space="preserve">Điều </w:t>
      </w:r>
      <w:r>
        <w:rPr>
          <w:b/>
        </w:rPr>
        <w:t>1.</w:t>
      </w:r>
      <w:r>
        <w:rPr/>
        <w:t xml:space="preserve"> H</w:t>
      </w:r>
      <w:r>
        <w:rPr>
          <w:lang w:val="en-US"/>
        </w:rPr>
        <w:t>ủy</w:t>
      </w:r>
      <w:r>
        <w:rPr/>
        <w:t xml:space="preserve"> bỏ Quyết định áp dụng biện pháp xử lý chuyển hướng số</w:t>
      </w:r>
      <w:r>
        <w:rPr>
          <w:lang w:val="en-US"/>
        </w:rPr>
        <w:t xml:space="preserve"> </w:t>
      </w:r>
      <w:r>
        <w:rPr/>
        <w:t>…</w:t>
      </w:r>
      <w:r>
        <w:rPr>
          <w:lang w:val="en-US"/>
        </w:rPr>
        <w:t xml:space="preserve"> </w:t>
      </w:r>
      <w:r>
        <w:rPr/>
        <w:t>ngày</w:t>
      </w:r>
      <w:r>
        <w:rPr>
          <w:lang w:val="en-US"/>
        </w:rPr>
        <w:t xml:space="preserve"> </w:t>
      </w:r>
      <w:r>
        <w:rPr/>
        <w:t>…</w:t>
      </w:r>
      <w:r>
        <w:rPr>
          <w:lang w:val="en-US"/>
        </w:rPr>
        <w:t xml:space="preserve"> </w:t>
      </w:r>
      <w:r>
        <w:rPr/>
        <w:t>tháng</w:t>
      </w:r>
      <w:r>
        <w:rPr>
          <w:lang w:val="en-US"/>
        </w:rPr>
        <w:t xml:space="preserve"> </w:t>
      </w:r>
      <w:r>
        <w:rPr/>
        <w:t>… năm</w:t>
      </w:r>
      <w:r>
        <w:rPr>
          <w:lang w:val="en-US"/>
        </w:rPr>
        <w:t xml:space="preserve"> </w:t>
      </w:r>
      <w:r>
        <w:rPr/>
        <w:t>…</w:t>
      </w:r>
      <w:r>
        <w:rPr>
          <w:lang w:val="en-US"/>
        </w:rPr>
        <w:t xml:space="preserve"> </w:t>
      </w:r>
      <w:r>
        <w:rPr/>
        <w:t>của</w:t>
      </w:r>
      <w:r>
        <w:rPr>
          <w:vertAlign w:val="superscript"/>
          <w:lang w:val="en-US"/>
        </w:rPr>
        <w:t>8</w:t>
      </w:r>
      <w:r>
        <w:rPr/>
        <w:t>…</w:t>
      </w:r>
      <w:r>
        <w:rPr>
          <w:lang w:val="en-US"/>
        </w:rPr>
        <w:t xml:space="preserve"> đối với</w:t>
      </w:r>
      <w:r>
        <w:rPr>
          <w:vertAlign w:val="superscript"/>
          <w:lang w:val="en-US"/>
        </w:rPr>
        <w:t>7</w:t>
      </w:r>
      <w:r>
        <w:rPr/>
        <w:t>…</w:t>
      </w:r>
      <w:r>
        <w:rPr>
          <w:lang w:val="en-US"/>
        </w:rPr>
        <w:t>.</w:t>
      </w:r>
    </w:p>
    <w:p>
      <w:pPr>
        <w:pStyle w:val="Normal"/>
        <w:spacing w:before="0" w:after="0"/>
        <w:ind w:firstLine="720" w:end="0"/>
        <w:jc w:val="both"/>
        <w:rPr/>
      </w:pPr>
      <w:r>
        <w:rPr>
          <w:b/>
          <w:lang w:val="en-US"/>
        </w:rPr>
        <w:t>Điều</w:t>
      </w:r>
      <w:r>
        <w:rPr>
          <w:b/>
        </w:rPr>
        <w:t xml:space="preserve"> 2.</w:t>
      </w:r>
      <w:r>
        <w:rPr/>
        <w:t xml:space="preserve"> Yêu cầu</w:t>
      </w:r>
      <w:r>
        <w:rPr>
          <w:vertAlign w:val="superscript"/>
          <w:lang w:val="en-US"/>
        </w:rPr>
        <w:t>8</w:t>
      </w:r>
      <w:r>
        <w:rPr/>
        <w:t>…</w:t>
      </w:r>
      <w:r>
        <w:rPr>
          <w:lang w:val="en-US"/>
        </w:rPr>
        <w:t xml:space="preserve"> </w:t>
      </w:r>
      <w:r>
        <w:rPr/>
        <w:t>tiếp tục giải quyết vụ án theo quy định của Bộ luật Tố tụng hình sự</w:t>
      </w:r>
      <w:r>
        <w:rPr>
          <w:lang w:val="en-US"/>
        </w:rPr>
        <w:t xml:space="preserve"> và Luật Tư pháp người chưa thành niên/mở lại phiên họp xem xét, quyết định áp dụng biện pháp xử lý chuyển hướng</w:t>
      </w:r>
      <w:r>
        <w:rPr>
          <w:rStyle w:val="FootnoteCharacters"/>
          <w:rStyle w:val="FootnoteReference"/>
        </w:rPr>
        <w:footnoteReference w:id="10"/>
      </w:r>
      <w:r>
        <w:rPr/>
        <w:t>./.</w:t>
      </w:r>
    </w:p>
    <w:p>
      <w:pPr>
        <w:pStyle w:val="Normal"/>
        <w:jc w:val="both"/>
        <w:rPr/>
      </w:pPr>
      <w:r>
        <w:rPr/>
      </w:r>
    </w:p>
    <w:tbl>
      <w:tblPr>
        <w:tblW w:w="1037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87"/>
        <w:gridCol w:w="5283"/>
      </w:tblGrid>
      <w:tr>
        <w:trPr>
          <w:trHeight w:val="788" w:hRule="atLeast"/>
        </w:trPr>
        <w:tc>
          <w:tcPr>
            <w:tcW w:w="5087" w:type="dxa"/>
            <w:tcBorders/>
          </w:tcPr>
          <w:p>
            <w:pPr>
              <w:pStyle w:val="Normal"/>
              <w:spacing w:before="0" w:after="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 nhận:</w:t>
            </w:r>
          </w:p>
          <w:p>
            <w:pPr>
              <w:pStyle w:val="Normal"/>
              <w:spacing w:before="0" w:after="0"/>
              <w:ind w:firstLine="108" w:start="-108" w:end="0"/>
              <w:rPr>
                <w:sz w:val="22"/>
                <w:lang w:val="en-US"/>
              </w:rPr>
            </w:pPr>
            <w:r>
              <w:rPr>
                <w:sz w:val="22"/>
              </w:rPr>
              <w:t xml:space="preserve">- </w:t>
            </w:r>
            <w:r>
              <w:rPr>
                <w:sz w:val="22"/>
                <w:vertAlign w:val="superscript"/>
                <w:lang w:val="en-US"/>
              </w:rPr>
              <w:t>8</w:t>
            </w:r>
            <w:r>
              <w:rPr>
                <w:sz w:val="22"/>
                <w:lang w:val="en-US"/>
              </w:rPr>
              <w:t xml:space="preserve">…, </w:t>
            </w:r>
          </w:p>
          <w:p>
            <w:pPr>
              <w:pStyle w:val="Normal"/>
              <w:spacing w:before="0" w:after="0"/>
              <w:ind w:firstLine="108" w:start="-108" w:end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- </w:t>
            </w:r>
            <w:r>
              <w:rPr>
                <w:sz w:val="22"/>
                <w:vertAlign w:val="superscript"/>
                <w:lang w:val="en-US"/>
              </w:rPr>
              <w:t>7</w:t>
            </w:r>
            <w:r>
              <w:rPr>
                <w:sz w:val="22"/>
                <w:lang w:val="en-US"/>
              </w:rPr>
              <w:t>…</w:t>
            </w:r>
            <w:r>
              <w:rPr>
                <w:sz w:val="22"/>
              </w:rPr>
              <w:t>;</w:t>
            </w:r>
          </w:p>
          <w:p>
            <w:pPr>
              <w:pStyle w:val="Normal"/>
              <w:spacing w:before="0" w:after="0"/>
              <w:ind w:firstLine="108" w:start="-108" w:end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- Người đại diện của bị can;</w:t>
            </w:r>
          </w:p>
          <w:p>
            <w:pPr>
              <w:pStyle w:val="Normal"/>
              <w:spacing w:before="0" w:after="0"/>
              <w:ind w:firstLine="108" w:start="-108" w:end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- Bị hại;</w:t>
            </w:r>
          </w:p>
          <w:p>
            <w:pPr>
              <w:pStyle w:val="Normal"/>
              <w:spacing w:before="0" w:after="0"/>
              <w:ind w:firstLine="108" w:start="-108" w:end="0"/>
              <w:rPr>
                <w:sz w:val="22"/>
                <w:lang w:val="en-US"/>
              </w:rPr>
            </w:pPr>
            <w:r>
              <w:rPr>
                <w:sz w:val="22"/>
              </w:rPr>
              <w:t xml:space="preserve">- </w:t>
            </w:r>
            <w:r>
              <w:rPr>
                <w:sz w:val="22"/>
                <w:vertAlign w:val="superscript"/>
                <w:lang w:val="en-US"/>
              </w:rPr>
              <w:t>1</w:t>
            </w:r>
            <w:r>
              <w:rPr>
                <w:sz w:val="22"/>
                <w:lang w:val="en-US"/>
              </w:rPr>
              <w:t>…</w:t>
            </w:r>
            <w:r>
              <w:rPr>
                <w:sz w:val="22"/>
              </w:rPr>
              <w:t>;</w:t>
            </w:r>
          </w:p>
          <w:p>
            <w:pPr>
              <w:pStyle w:val="Normal"/>
              <w:spacing w:before="0" w:after="0"/>
              <w:ind w:firstLine="108" w:start="-108" w:end="0"/>
              <w:rPr>
                <w:sz w:val="22"/>
                <w:lang w:val="en-US"/>
              </w:rPr>
            </w:pPr>
            <w:r>
              <w:rPr>
                <w:sz w:val="22"/>
              </w:rPr>
              <w:t>- Lưu</w:t>
            </w:r>
            <w:r>
              <w:rPr>
                <w:sz w:val="22"/>
                <w:lang w:val="en-US"/>
              </w:rPr>
              <w:t>: HSVA, HSKS, VP.</w:t>
            </w:r>
          </w:p>
        </w:tc>
        <w:tc>
          <w:tcPr>
            <w:tcW w:w="5283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1"/>
              <w:rPr>
                <w:b/>
                <w:bCs/>
                <w:sz w:val="24"/>
                <w:lang w:val="en-US"/>
              </w:rPr>
            </w:pPr>
            <w:r>
              <w:rPr>
                <w:rStyle w:val="FootnoteCharacters"/>
                <w:rStyle w:val="FootnoteReference"/>
                <w:b/>
                <w:bCs/>
                <w:sz w:val="24"/>
                <w:szCs w:val="26"/>
              </w:rPr>
              <w:footnoteReference w:id="11"/>
            </w:r>
            <w:r>
              <w:rPr>
                <w:b/>
                <w:bCs/>
                <w:sz w:val="24"/>
                <w:lang w:val="en-US"/>
              </w:rPr>
              <w:t>{{document.field}}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1"/>
              <w:rPr/>
            </w:pPr>
            <w:r>
              <w:rPr>
                <w:bCs/>
                <w:i/>
                <w:sz w:val="24"/>
                <w:szCs w:val="24"/>
              </w:rPr>
              <w:t>(</w:t>
            </w:r>
            <w:r>
              <w:rPr>
                <w:i/>
                <w:iCs/>
                <w:sz w:val="24"/>
              </w:rPr>
              <w:t>Ký, ghi rõ họ tên, đóng dấu</w:t>
            </w:r>
            <w:r>
              <w:rPr>
                <w:bCs/>
                <w:i/>
                <w:sz w:val="24"/>
                <w:szCs w:val="24"/>
              </w:rPr>
              <w:t>)</w:t>
            </w:r>
          </w:p>
        </w:tc>
      </w:tr>
    </w:tbl>
    <w:p>
      <w:pPr>
        <w:pStyle w:val="Normal"/>
        <w:tabs>
          <w:tab w:val="clear" w:pos="720"/>
          <w:tab w:val="left" w:pos="3030" w:leader="none"/>
        </w:tabs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sectPr>
      <w:footnotePr>
        <w:numFmt w:val="decimal"/>
      </w:footnotePr>
      <w:type w:val="nextPage"/>
      <w:pgSz w:w="11906" w:h="16838"/>
      <w:pgMar w:left="1701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Ghi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>ịa danh là tên tỉnh/thành phố n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 xml:space="preserve">i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>ặt trụ sở của 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8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chưa thành niên bị khởi tố 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ra Quyết định áp dụng biện pháp xử lý chuyển hướng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Tr</w:t>
      </w:r>
      <w:r>
        <w:rPr>
          <w:rFonts w:cs="Times New Roman" w:ascii="Times New Roman" w:hAnsi="Times New Roman"/>
          <w:lang w:val="vi-VN"/>
        </w:rPr>
        <w:t xml:space="preserve">ường hợp </w:t>
      </w:r>
      <w:r>
        <w:rPr>
          <w:rFonts w:cs="Times New Roman" w:ascii="Times New Roman" w:hAnsi="Times New Roman"/>
          <w:lang w:val="en-US"/>
        </w:rPr>
        <w:t xml:space="preserve">Viện trưởng </w:t>
      </w:r>
      <w:r>
        <w:rPr>
          <w:rFonts w:cs="Times New Roman" w:ascii="Times New Roman" w:hAnsi="Times New Roman"/>
          <w:lang w:val="vi-VN"/>
        </w:rPr>
        <w:t>Viện kiểm sát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  <w:lang w:val="vi-VN"/>
        </w:rPr>
        <w:t xml:space="preserve">hủy bỏ </w:t>
      </w:r>
      <w:r>
        <w:rPr>
          <w:rFonts w:cs="Times New Roman" w:ascii="Times New Roman" w:hAnsi="Times New Roman"/>
          <w:lang w:val="en-US"/>
        </w:rPr>
        <w:t>Q</w:t>
      </w:r>
      <w:r>
        <w:rPr>
          <w:rFonts w:cs="Times New Roman" w:ascii="Times New Roman" w:hAnsi="Times New Roman"/>
          <w:lang w:val="vi-VN"/>
        </w:rPr>
        <w:t xml:space="preserve">uyết định </w:t>
      </w:r>
      <w:r>
        <w:rPr>
          <w:rFonts w:cs="Times New Roman" w:ascii="Times New Roman" w:hAnsi="Times New Roman"/>
          <w:lang w:val="en-US"/>
        </w:rPr>
        <w:t>áp dụng biện pháp xử lý chuyển hướng</w:t>
      </w:r>
      <w:r>
        <w:rPr>
          <w:rFonts w:cs="Times New Roman" w:ascii="Times New Roman" w:hAnsi="Times New Roman"/>
          <w:lang w:val="vi-VN"/>
        </w:rPr>
        <w:t xml:space="preserve"> của </w:t>
      </w:r>
      <w:r>
        <w:rPr>
          <w:rFonts w:cs="Times New Roman" w:ascii="Times New Roman" w:hAnsi="Times New Roman"/>
          <w:lang w:val="en-US"/>
        </w:rPr>
        <w:t>Phó Viện trưởng Viện kiểm sát cấp mình</w:t>
      </w:r>
      <w:r>
        <w:rPr>
          <w:rFonts w:cs="Times New Roman" w:ascii="Times New Roman" w:hAnsi="Times New Roman"/>
          <w:lang w:val="vi-VN"/>
        </w:rPr>
        <w:t xml:space="preserve"> thì </w:t>
      </w:r>
      <w:r>
        <w:rPr>
          <w:rFonts w:cs="Times New Roman" w:ascii="Times New Roman" w:hAnsi="Times New Roman"/>
          <w:lang w:val="en-US"/>
        </w:rPr>
        <w:t>ghi: “Viện kiểm sát</w:t>
      </w:r>
      <w:r>
        <w:rPr>
          <w:rFonts w:cs="Times New Roman" w:ascii="Times New Roman" w:hAnsi="Times New Roman"/>
          <w:vertAlign w:val="superscript"/>
          <w:lang w:val="en-US"/>
        </w:rPr>
        <w:t>2</w:t>
      </w:r>
      <w:r>
        <w:rPr>
          <w:rFonts w:cs="Times New Roman" w:ascii="Times New Roman" w:hAnsi="Times New Roman"/>
          <w:lang w:val="en-US"/>
        </w:rPr>
        <w:t>… tiếp tục giải quyết theo quy định của Bộ luật Tố tụng hình sự và Luật Tư pháp người chưa thành niên/mở lại phiên họp xem xét, quyết định áp dụng biện pháp xử lý chuyển hướng”</w:t>
      </w:r>
    </w:p>
  </w:footnote>
  <w:footnote w:id="11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120" w:after="0"/>
    </w:pPr>
    <w:rPr>
      <w:rFonts w:ascii="Times New Roman" w:eastAsia="Times New Roman" w:hAnsi="Times New Roman" w:cs="Times New Roman"/>
      <w:color w:val="auto"/>
      <w:sz w:val="26"/>
      <w:szCs w:val="26"/>
      <w:lang w:val="vi-VN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>
      <w:spacing w:before="0" w:after="0"/>
    </w:pPr>
    <w:rPr>
      <w:rFonts w:ascii=".VnTime;Courier New" w:hAnsi=".VnTime;Courier New" w:eastAsia="Calibri" w:cs=".VnTime;Courier New"/>
      <w:sz w:val="20"/>
      <w:szCs w:val="20"/>
      <w:lang w:val="en-GB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package" Target="embeddings/oleObject1.xlsx"/><Relationship Id="rId3" Type="http://schemas.openxmlformats.org/officeDocument/2006/relationships/image" Target="media/image1.png"/><Relationship Id="rId4" Type="http://schemas.openxmlformats.org/officeDocument/2006/relationships/package" Target="embeddings/oleObject2.xlsx"/><Relationship Id="rId5" Type="http://schemas.openxmlformats.org/officeDocument/2006/relationships/image" Target="media/image1.png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2025-08-12T05:21:00Z</dcterms:created>
  <dc:creator>Nguyen Duc Minh</dc:creator>
  <dc:description/>
  <cp:keywords/>
  <dc:language>en-GB</dc:language>
  <cp:lastModifiedBy>PC</cp:lastModifiedBy>
  <dcterms:modified xsi:type="dcterms:W3CDTF">2026-01-30T18:35:00Z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e21a5428-40d2-4e2d-bd53-98156d899ad5</vt:lpwstr>
  </property>
</Properties>
</file>