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 w:eastAsia="en-GB"/>
        </w:rPr>
      </w:pPr>
      <w:r>
        <w:rPr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4055745</wp:posOffset>
                </wp:positionH>
                <wp:positionV relativeFrom="paragraph">
                  <wp:posOffset>54610</wp:posOffset>
                </wp:positionV>
                <wp:extent cx="2257425" cy="47307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4730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195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spacing w:before="0" w:after="0"/>
                              <w:jc w:val="center"/>
                              <w:outlineLvl w:val="3"/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lang w:val="en-GB" w:eastAsia="en-GB"/>
                              </w:rPr>
                            </w:pPr>
                            <w:r>
                              <w:rPr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398060240" r:id="rId2"/>
                              </w:objec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7.75pt;height:37.25pt;mso-wrap-distance-left:9.05pt;mso-wrap-distance-right:9.05pt;mso-wrap-distance-top:0pt;mso-wrap-distance-bottom:0pt;margin-top:4.3pt;mso-position-vertical-relative:text;margin-left:319.3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Mẫu số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195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spacing w:before="0" w:after="0"/>
                        <w:jc w:val="center"/>
                        <w:outlineLvl w:val="3"/>
                        <w:rPr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lang w:val="en-GB" w:eastAsia="en-GB"/>
                        </w:rPr>
                      </w:pPr>
                      <w:r>
                        <w:rPr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752670368" r:id="rId4"/>
                        </w:objec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0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31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39370</wp:posOffset>
                      </wp:positionV>
                      <wp:extent cx="838200" cy="0"/>
                      <wp:effectExtent l="0" t="5080" r="0" b="5080"/>
                      <wp:wrapNone/>
                      <wp:docPr id="2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75pt,3.1pt" to="123.7pt,3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</w:tc>
        <w:tc>
          <w:tcPr>
            <w:tcW w:w="53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iCs/>
                <w:lang w:val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24765</wp:posOffset>
                      </wp:positionV>
                      <wp:extent cx="1943100" cy="0"/>
                      <wp:effectExtent l="0" t="5080" r="0" b="5080"/>
                      <wp:wrapNone/>
                      <wp:docPr id="3" name="Line 35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2.15pt,1.95pt" to="205.1pt,1.9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iCs/>
              </w:rPr>
              <w:t xml:space="preserve">        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năm 20...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  <w:spacing w:val="-12"/>
          <w:sz w:val="26"/>
          <w:szCs w:val="26"/>
          <w:lang w:val="en-US"/>
        </w:rPr>
      </w:pPr>
      <w:r>
        <w:rPr>
          <w:b/>
          <w:bCs/>
          <w:spacing w:val="-12"/>
          <w:sz w:val="26"/>
          <w:szCs w:val="26"/>
          <w:lang w:val="en-US"/>
        </w:rPr>
        <w:t>H</w:t>
      </w:r>
      <w:r>
        <w:rPr>
          <w:b/>
          <w:bCs/>
          <w:spacing w:val="-12"/>
          <w:sz w:val="26"/>
          <w:szCs w:val="26"/>
        </w:rPr>
        <w:t>ỦY BỎ QUYẾT ĐỊNH</w:t>
      </w:r>
      <w:r>
        <w:rPr>
          <w:b/>
          <w:bCs/>
          <w:spacing w:val="-12"/>
          <w:sz w:val="26"/>
          <w:szCs w:val="26"/>
          <w:lang w:val="en-US"/>
        </w:rPr>
        <w:t xml:space="preserve"> KHÔNG</w:t>
      </w:r>
      <w:r>
        <w:rPr>
          <w:b/>
          <w:bCs/>
          <w:spacing w:val="-12"/>
          <w:sz w:val="26"/>
          <w:szCs w:val="26"/>
        </w:rPr>
        <w:t xml:space="preserve"> ÁP DỤNG BIỆN PHÁP XỬ LÝ CHUYỂN HƯỚNG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keepNext w:val="true"/>
        <w:numPr>
          <w:ilvl w:val="0"/>
          <w:numId w:val="0"/>
        </w:numPr>
        <w:spacing w:before="0" w:after="0"/>
        <w:jc w:val="center"/>
        <w:outlineLvl w:val="2"/>
        <w:rPr>
          <w:b/>
          <w:bCs/>
          <w:sz w:val="24"/>
        </w:rPr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 xml:space="preserve">… </w:t>
      </w:r>
    </w:p>
    <w:p>
      <w:pPr>
        <w:pStyle w:val="Normal"/>
        <w:spacing w:before="0" w:after="0"/>
        <w:rPr/>
      </w:pPr>
      <w:r>
        <w:rPr/>
        <w:t xml:space="preserve">                       </w:t>
      </w:r>
    </w:p>
    <w:p>
      <w:pPr>
        <w:pStyle w:val="Normal"/>
        <w:spacing w:before="0" w:after="0"/>
        <w:ind w:firstLine="720" w:end="0"/>
        <w:jc w:val="both"/>
        <w:rPr>
          <w:szCs w:val="28"/>
          <w:lang w:val="en-US"/>
        </w:rPr>
      </w:pPr>
      <w:r>
        <w:rPr>
          <w:szCs w:val="28"/>
        </w:rPr>
        <w:t>Căn cứ</w:t>
      </w:r>
      <w:r>
        <w:rPr>
          <w:szCs w:val="28"/>
          <w:lang w:val="en-US"/>
        </w:rPr>
        <w:t xml:space="preserve"> Điều 41 của Bộ luật Tố tụng hình sự và </w:t>
      </w:r>
      <w:r>
        <w:rPr>
          <w:rFonts w:eastAsia="Times New Roman"/>
          <w:szCs w:val="28"/>
        </w:rPr>
        <w:t>khoản 4 Điều 56</w:t>
      </w:r>
      <w:r>
        <w:rPr>
          <w:rFonts w:eastAsia="Times New Roman"/>
          <w:szCs w:val="28"/>
          <w:lang w:val="en-US"/>
        </w:rPr>
        <w:t xml:space="preserve"> của Luật Tư pháp người chưa thành niên</w:t>
      </w:r>
      <w:r>
        <w:rPr>
          <w:szCs w:val="28"/>
        </w:rPr>
        <w:t>;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szCs w:val="28"/>
          <w:lang w:val="en-US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szCs w:val="28"/>
          <w:vertAlign w:val="superscript"/>
          <w:lang w:val="en-US"/>
        </w:rPr>
        <w:footnoteReference w:id="6"/>
      </w:r>
      <w:r>
        <w:rPr>
          <w:szCs w:val="28"/>
          <w:lang w:val="en-US"/>
        </w:rPr>
        <w:t xml:space="preserve"> … về tội … quy định tại khoản … Điều … của Bộ luật Hình sự;</w:t>
      </w:r>
    </w:p>
    <w:p>
      <w:pPr>
        <w:pStyle w:val="Normal"/>
        <w:spacing w:before="0" w:after="0"/>
        <w:ind w:firstLine="720" w:end="0"/>
        <w:jc w:val="both"/>
        <w:rPr>
          <w:szCs w:val="28"/>
          <w:lang w:val="en-US"/>
        </w:rPr>
      </w:pPr>
      <w:r>
        <w:rPr>
          <w:szCs w:val="28"/>
          <w:lang w:val="en-US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szCs w:val="28"/>
          <w:vertAlign w:val="superscript"/>
          <w:lang w:val="en-US"/>
        </w:rPr>
        <w:footnoteReference w:id="7"/>
      </w:r>
      <w:r>
        <w:rPr>
          <w:szCs w:val="28"/>
          <w:lang w:val="en-US"/>
        </w:rPr>
        <w:t>… đối với</w:t>
      </w:r>
      <w:r>
        <w:rPr>
          <w:rStyle w:val="FootnoteReference"/>
          <w:szCs w:val="28"/>
          <w:vertAlign w:val="superscript"/>
          <w:lang w:val="en-US"/>
        </w:rPr>
        <w:footnoteReference w:id="8"/>
      </w:r>
      <w:r>
        <w:rPr>
          <w:szCs w:val="28"/>
          <w:lang w:val="en-US"/>
        </w:rPr>
        <w:t>… về tội … quy định tại khoản … Điều … của Bộ luật Hình sự;</w:t>
      </w:r>
      <w:r>
        <w:rPr>
          <w:szCs w:val="28"/>
        </w:rPr>
        <w:t xml:space="preserve"> </w:t>
      </w:r>
    </w:p>
    <w:p>
      <w:pPr>
        <w:pStyle w:val="Normal"/>
        <w:spacing w:before="0" w:after="0"/>
        <w:ind w:firstLine="720" w:end="0"/>
        <w:jc w:val="both"/>
        <w:rPr>
          <w:b/>
          <w:bCs/>
          <w:sz w:val="24"/>
        </w:rPr>
      </w:pPr>
      <w:r>
        <w:rPr/>
        <w:t xml:space="preserve">Xét Quyết định </w:t>
      </w:r>
      <w:r>
        <w:rPr>
          <w:lang w:val="en-US"/>
        </w:rPr>
        <w:t xml:space="preserve">không </w:t>
      </w:r>
      <w:r>
        <w:rPr/>
        <w:t>áp dụng biện pháp xử lý chuyển hướng</w:t>
      </w:r>
      <w:r>
        <w:rPr>
          <w:lang w:val="en-US"/>
        </w:rPr>
        <w:t xml:space="preserve"> </w:t>
      </w:r>
      <w:r>
        <w:rPr/>
        <w:t>số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ngày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tháng</w:t>
      </w:r>
      <w:r>
        <w:rPr>
          <w:lang w:val="en-US"/>
        </w:rPr>
        <w:t xml:space="preserve"> </w:t>
      </w:r>
      <w:r>
        <w:rPr/>
        <w:t>… năm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của</w:t>
      </w:r>
      <w:r>
        <w:rPr>
          <w:rStyle w:val="FootnoteCharacters"/>
          <w:rStyle w:val="FootnoteReference"/>
        </w:rPr>
        <w:footnoteReference w:id="9"/>
      </w:r>
      <w:r>
        <w:rPr/>
        <w:t>…</w:t>
      </w:r>
      <w:r>
        <w:rPr>
          <w:lang w:val="en-US"/>
        </w:rPr>
        <w:t xml:space="preserve"> đối với</w:t>
      </w:r>
      <w:r>
        <w:rPr>
          <w:vertAlign w:val="superscript"/>
          <w:lang w:val="en-US"/>
        </w:rPr>
        <w:t>7</w:t>
      </w:r>
      <w:r>
        <w:rPr/>
        <w:t>…</w:t>
      </w:r>
      <w:r>
        <w:rPr>
          <w:lang w:val="en-US"/>
        </w:rPr>
        <w:t xml:space="preserve"> </w:t>
      </w:r>
      <w:r>
        <w:rPr/>
        <w:t>là không có căn cứ</w:t>
      </w:r>
      <w:r>
        <w:rPr>
          <w:lang w:val="en-US"/>
        </w:rPr>
        <w:t>, trái pháp luật</w:t>
      </w:r>
      <w:r>
        <w:rPr>
          <w:b/>
          <w:bCs/>
          <w:sz w:val="24"/>
        </w:rPr>
        <w:t>,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jc w:val="center"/>
        <w:rPr>
          <w:b/>
          <w:lang w:val="en-US"/>
        </w:rPr>
      </w:pPr>
      <w:r>
        <w:rPr>
          <w:b/>
          <w:lang w:val="en-US"/>
        </w:rPr>
        <w:t>QUYẾT ĐỊNH:</w:t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>
          <w:b/>
          <w:lang w:val="en-US"/>
        </w:rPr>
        <w:t xml:space="preserve">Điều </w:t>
      </w:r>
      <w:r>
        <w:rPr>
          <w:b/>
        </w:rPr>
        <w:t>1.</w:t>
      </w:r>
      <w:r>
        <w:rPr/>
        <w:t xml:space="preserve"> H</w:t>
      </w:r>
      <w:r>
        <w:rPr>
          <w:lang w:val="en-US"/>
        </w:rPr>
        <w:t>ủy</w:t>
      </w:r>
      <w:r>
        <w:rPr/>
        <w:t xml:space="preserve"> bỏ Quyết định</w:t>
      </w:r>
      <w:r>
        <w:rPr>
          <w:lang w:val="en-US"/>
        </w:rPr>
        <w:t xml:space="preserve"> không</w:t>
      </w:r>
      <w:r>
        <w:rPr/>
        <w:t xml:space="preserve"> áp dụng biện pháp xử lý chuyển hướng số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ngày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tháng</w:t>
      </w:r>
      <w:r>
        <w:rPr>
          <w:lang w:val="en-US"/>
        </w:rPr>
        <w:t xml:space="preserve"> </w:t>
      </w:r>
      <w:r>
        <w:rPr/>
        <w:t>… năm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của</w:t>
      </w:r>
      <w:r>
        <w:rPr>
          <w:vertAlign w:val="superscript"/>
          <w:lang w:val="en-US"/>
        </w:rPr>
        <w:t>8</w:t>
      </w:r>
      <w:r>
        <w:rPr/>
        <w:t>…</w:t>
      </w:r>
      <w:r>
        <w:rPr>
          <w:lang w:val="en-US"/>
        </w:rPr>
        <w:t xml:space="preserve"> đối với</w:t>
      </w:r>
      <w:r>
        <w:rPr>
          <w:vertAlign w:val="superscript"/>
          <w:lang w:val="en-US"/>
        </w:rPr>
        <w:t>7</w:t>
      </w:r>
      <w:r>
        <w:rPr/>
        <w:t>…</w:t>
      </w:r>
      <w:r>
        <w:rPr>
          <w:lang w:val="en-US"/>
        </w:rPr>
        <w:t>.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>Điều</w:t>
      </w:r>
      <w:r>
        <w:rPr>
          <w:b/>
        </w:rPr>
        <w:t xml:space="preserve"> 2.</w:t>
      </w:r>
      <w:r>
        <w:rPr/>
        <w:t xml:space="preserve"> Yêu cầu</w:t>
      </w:r>
      <w:r>
        <w:rPr>
          <w:vertAlign w:val="superscript"/>
          <w:lang w:val="en-US"/>
        </w:rPr>
        <w:t>8</w:t>
      </w:r>
      <w:r>
        <w:rPr/>
        <w:t>…</w:t>
      </w:r>
      <w:r>
        <w:rPr>
          <w:lang w:val="en-US"/>
        </w:rPr>
        <w:t xml:space="preserve"> </w:t>
      </w:r>
      <w:r>
        <w:rPr>
          <w:color w:val="000000"/>
          <w:szCs w:val="28"/>
          <w:shd w:fill="FFFFFF" w:val="clear"/>
        </w:rPr>
        <w:t>mở lại phiên họp xem xét, quyết định áp dụng biện pháp xử lý chuyển hướng</w:t>
      </w:r>
      <w:r>
        <w:rPr>
          <w:rStyle w:val="FootnoteCharacters"/>
          <w:rStyle w:val="FootnoteReference"/>
        </w:rPr>
        <w:footnoteReference w:id="10"/>
      </w:r>
      <w:r>
        <w:rPr/>
        <w:t>./.</w:t>
      </w:r>
    </w:p>
    <w:tbl>
      <w:tblPr>
        <w:tblW w:w="103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7"/>
        <w:gridCol w:w="5283"/>
      </w:tblGrid>
      <w:tr>
        <w:trPr>
          <w:trHeight w:val="788" w:hRule="atLeast"/>
        </w:trPr>
        <w:tc>
          <w:tcPr>
            <w:tcW w:w="5087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8</w:t>
            </w:r>
            <w:r>
              <w:rPr>
                <w:sz w:val="22"/>
                <w:lang w:val="en-US"/>
              </w:rPr>
              <w:t xml:space="preserve">…, 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7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  <w:r>
              <w:rPr>
                <w:sz w:val="22"/>
                <w:lang w:val="en-US"/>
              </w:rPr>
              <w:t xml:space="preserve"> </w:t>
            </w:r>
          </w:p>
          <w:p>
            <w:pPr>
              <w:pStyle w:val="Normal"/>
              <w:spacing w:before="0" w:after="0"/>
              <w:ind w:firstLine="108" w:start="-108" w:end="0"/>
              <w:rPr/>
            </w:pPr>
            <w:r>
              <w:rPr>
                <w:sz w:val="22"/>
                <w:lang w:val="en-US"/>
              </w:rPr>
              <w:t>- Người đại diện của bị can;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- Bị hại;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start="-108" w:end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</w:t>
            </w: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528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rStyle w:val="FootnoteCharacters"/>
                <w:rStyle w:val="FootnoteReference"/>
                <w:b/>
                <w:bCs/>
                <w:sz w:val="24"/>
                <w:szCs w:val="26"/>
              </w:rPr>
              <w:footnoteReference w:id="11"/>
            </w:r>
            <w:r>
              <w:rPr>
                <w:b/>
                <w:bCs/>
                <w:sz w:val="24"/>
                <w:lang w:val="en-US"/>
              </w:rPr>
              <w:t>……………………………</w:t>
            </w:r>
            <w:r>
              <w:rPr>
                <w:b/>
                <w:bCs/>
                <w:sz w:val="24"/>
                <w:lang w:val="en-US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sz w:val="24"/>
                <w:szCs w:val="24"/>
              </w:rPr>
              <w:t>)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ra Quyết định không áp dụng biện pháp xử lý chuyển hướng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 xml:space="preserve">Viện trưởng </w:t>
      </w:r>
      <w:r>
        <w:rPr>
          <w:rFonts w:cs="Times New Roman" w:ascii="Times New Roman" w:hAnsi="Times New Roman"/>
          <w:lang w:val="vi-VN"/>
        </w:rPr>
        <w:t>Viện kiểm sát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hủy bỏ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  <w:lang w:val="vi-VN"/>
        </w:rPr>
        <w:t xml:space="preserve">uyết định </w:t>
      </w:r>
      <w:r>
        <w:rPr>
          <w:rFonts w:cs="Times New Roman" w:ascii="Times New Roman" w:hAnsi="Times New Roman"/>
          <w:lang w:val="en-US"/>
        </w:rPr>
        <w:t>áp dụng biện pháp xử lý chuyển hướng</w:t>
      </w:r>
      <w:r>
        <w:rPr>
          <w:rFonts w:cs="Times New Roman" w:ascii="Times New Roman" w:hAnsi="Times New Roman"/>
          <w:lang w:val="vi-VN"/>
        </w:rPr>
        <w:t xml:space="preserve"> của </w:t>
      </w:r>
      <w:r>
        <w:rPr>
          <w:rFonts w:cs="Times New Roman" w:ascii="Times New Roman" w:hAnsi="Times New Roman"/>
          <w:lang w:val="en-US"/>
        </w:rPr>
        <w:t>Phó Viện trưởng Viện kiểm sát cấp mình</w:t>
      </w:r>
      <w:r>
        <w:rPr>
          <w:rFonts w:cs="Times New Roman" w:ascii="Times New Roman" w:hAnsi="Times New Roman"/>
          <w:lang w:val="vi-VN"/>
        </w:rPr>
        <w:t xml:space="preserve"> thì </w:t>
      </w:r>
      <w:r>
        <w:rPr>
          <w:rFonts w:cs="Times New Roman" w:ascii="Times New Roman" w:hAnsi="Times New Roman"/>
          <w:spacing w:val="-4"/>
        </w:rPr>
        <w:t>ghi: “</w:t>
      </w:r>
      <w:r>
        <w:rPr>
          <w:rFonts w:cs="Times New Roman" w:ascii="Times New Roman" w:hAnsi="Times New Roman"/>
          <w:lang w:val="vi-VN"/>
        </w:rPr>
        <w:t>Viện kiểm sát</w:t>
      </w:r>
      <w:r>
        <w:rPr>
          <w:rFonts w:cs="Times New Roman" w:ascii="Times New Roman" w:hAnsi="Times New Roman"/>
          <w:vertAlign w:val="superscript"/>
          <w:lang w:val="en-US"/>
        </w:rPr>
        <w:t>2</w:t>
      </w:r>
      <w:r>
        <w:rPr>
          <w:rFonts w:cs="Times New Roman" w:ascii="Times New Roman" w:hAnsi="Times New Roman"/>
          <w:lang w:val="en-US"/>
        </w:rPr>
        <w:t>… tiếp tục giải quyết theo quy định của Bộ luật Tố tụng hình sự và Luật Tư pháp người chưa thành niên”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Courier New" w:hAnsi=".VnTime;Courier New" w:eastAsia="Calibri" w:cs=".VnTime;Courier New"/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2025-08-12T05:21:00Z</dcterms:created>
  <dc:creator>Nguyen Duc Minh</dc:creator>
  <dc:description/>
  <cp:keywords/>
  <dc:language>en-GB</dc:language>
  <cp:lastModifiedBy>PC</cp:lastModifiedBy>
  <dcterms:modified xsi:type="dcterms:W3CDTF">2026-01-30T18:38:00Z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e21a5428-40d2-4e2d-bd53-98156d899ad5</vt:lpwstr>
  </property>
</Properties>
</file>