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  <w:jc w:val="right"/>
      </w:pPr>
      <w:r>
        <w:rPr>
          <w:rFonts w:cs="Times New Roman" w:ascii="Times New Roman" w:hAnsi="Times New Roman"/>
          <w:b/>
          <w:bCs/>
          <w:sz w:val="16"/>
          <w:szCs w:val="16"/>
        </w:rPr>
        <w:t xml:space="preserve">Mẫu số 206/HS</w:t>
      </w:r>
    </w:p>
    <w:p>
      <w:pPr>
        <w:pStyle w:val="Normal"/>
        <w:rPr/>
        <w:jc w:val="right"/>
      </w:pPr>
      <w:r>
        <w:rPr>
          <w:rFonts w:cs="Times New Roman" w:ascii="Times New Roman" w:hAnsi="Times New Roman"/>
          <w:i/>
          <w:iCs/>
          <w:sz w:val="16"/>
          <w:szCs w:val="16"/>
        </w:rPr>
        <w:t xml:space="preserve">(Ban hành theo Thông tư số      /2026/TT-VKSTC</w:t>
      </w:r>
    </w:p>
    <w:p>
      <w:pPr>
        <w:pStyle w:val="Normal"/>
        <w:rPr/>
        <w:jc w:val="right"/>
      </w:pPr>
      <w:r>
        <w:rPr>
          <w:rFonts w:cs="Times New Roman" w:ascii="Times New Roman" w:hAnsi="Times New Roman"/>
          <w:i/>
          <w:iCs/>
          <w:sz w:val="16"/>
          <w:szCs w:val="16"/>
        </w:rPr>
        <w:t xml:space="preserve">ngày       /     /2026)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  <w:r>
              <mc:AlternateContent>
                <mc:Choice Requires="wps"/>
                <mc:Fallback/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19685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.15pt,1.55pt" to="138.65pt,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QUYẾT ĐỊNH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ÁP DỤNG BIỆN PHÁP GIÁM SÁT ĐIỆN TỬ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ĐỐI VỚI NGƯỜI CHƯA THÀNH NIÊN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236 và 241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139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szCs w:val="28"/>
        </w:rPr>
        <w:t xml:space="preserve"> có đủ căn cứ, điều kiện áp dụng biện pháp giám sát điện tử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…,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Áp dụng biện pháp giám sát điện tử đối với:</w:t>
      </w:r>
      <w:r>
        <w:rPr>
          <w:rStyle w:val="FootnoteCharacters"/>
          <w:rFonts w:cs="Times New Roman" w:ascii="Times New Roman" w:hAnsi="Times New Roman"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{{recipients.personLine3}}</w:t>
        <w:tab/>
        <w:t>{{recipients.personLine4}}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{{recipients.personLine5}}</w:t>
        <w:tab/>
        <w:t>{{recipients.personLine6}}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{{recipients.personLine7}}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{{recipients.personLine8}}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{{recipients.personLine9}}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{{recipients.personLine10}}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{{recipients.personLine11}}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Trong thời hạn: …, kể từ ngày … tháng … năm … đến ngày … tháng … năm….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{{recipients.personLine13}}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 xml:space="preserve">Điều 2. </w:t>
      </w:r>
      <w:r>
        <w:rPr>
          <w:rFonts w:cs="Times New Roman" w:ascii="Times New Roman" w:hAnsi="Times New Roman"/>
          <w:bCs/>
        </w:rPr>
        <w:t>Ủy ban nhân dân</w:t>
      </w:r>
      <w:r>
        <w:rPr>
          <w:rStyle w:val="FootnoteCharacters"/>
          <w:rStyle w:val="FootnoteReference"/>
          <w:rFonts w:cs="Times New Roman" w:ascii="Times New Roman" w:hAnsi="Times New Roman"/>
          <w:bCs/>
        </w:rPr>
        <w:footnoteReference w:id="10"/>
      </w:r>
      <w:r>
        <w:rPr>
          <w:rFonts w:cs="Times New Roman" w:ascii="Times New Roman" w:hAnsi="Times New Roman"/>
          <w:bCs/>
        </w:rPr>
        <w:t>… có trách nhiệm thi hành Quyết định này. Nếu chưa được sự đồng ý của Ủy ban nhân dân</w:t>
      </w:r>
      <w:r>
        <w:rPr>
          <w:rFonts w:cs="Times New Roman" w:ascii="Times New Roman" w:hAnsi="Times New Roman"/>
          <w:bCs/>
          <w:vertAlign w:val="superscript"/>
        </w:rPr>
        <w:t>9</w:t>
      </w:r>
      <w:r>
        <w:rPr>
          <w:rFonts w:cs="Times New Roman" w:ascii="Times New Roman" w:hAnsi="Times New Roman"/>
          <w:bCs/>
        </w:rPr>
        <w:t>… và Giấy phép của Viện kiểm sát</w:t>
      </w:r>
      <w:r>
        <w:rPr>
          <w:rFonts w:cs="Times New Roman" w:ascii="Times New Roman" w:hAnsi="Times New Roman"/>
          <w:bCs/>
          <w:vertAlign w:val="superscript"/>
        </w:rPr>
        <w:t>2</w:t>
      </w:r>
      <w:r>
        <w:rPr>
          <w:rFonts w:cs="Times New Roman" w:ascii="Times New Roman" w:hAnsi="Times New Roman"/>
          <w:bCs/>
        </w:rPr>
        <w:t>… thì bị can không được đi khỏi phạm vi giám sát. Nếu bị can vi phạm nghĩa vụ cam đoan, yêu cầu Ủy ban nhân dân</w:t>
      </w:r>
      <w:r>
        <w:rPr>
          <w:rFonts w:cs="Times New Roman" w:ascii="Times New Roman" w:hAnsi="Times New Roman"/>
          <w:bCs/>
          <w:vertAlign w:val="superscript"/>
        </w:rPr>
        <w:t>9</w:t>
      </w:r>
      <w:r>
        <w:rPr>
          <w:rFonts w:cs="Times New Roman" w:ascii="Times New Roman" w:hAnsi="Times New Roman"/>
          <w:bCs/>
        </w:rPr>
        <w:t>… phải báo ngay cho Viện kiểm sát</w:t>
      </w:r>
      <w:r>
        <w:rPr>
          <w:rFonts w:cs="Times New Roman" w:ascii="Times New Roman" w:hAnsi="Times New Roman"/>
          <w:bCs/>
          <w:vertAlign w:val="superscript"/>
        </w:rPr>
        <w:t>2</w:t>
      </w:r>
      <w:r>
        <w:rPr>
          <w:rFonts w:cs="Times New Roman" w:ascii="Times New Roman" w:hAnsi="Times New Roman"/>
          <w:bCs/>
        </w:rPr>
        <w:t xml:space="preserve">… biết để xử lý theo thẩm quyền, điện thoại liên hệ số: …, </w:t>
      </w:r>
      <w:r>
        <w:rPr>
          <w:rFonts w:cs="Times New Roman" w:ascii="Times New Roman" w:hAnsi="Times New Roman"/>
          <w:szCs w:val="28"/>
          <w:lang w:val="vi-VN"/>
        </w:rPr>
        <w:t>gặp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  <w:lang w:val="vi-VN"/>
        </w:rPr>
        <w:footnoteReference w:id="11"/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  <w:szCs w:val="28"/>
          <w:lang w:val="vi-VN"/>
        </w:rPr>
        <w:t xml:space="preserve"> </w:t>
      </w:r>
      <w:r>
        <w:rPr>
          <w:rFonts w:cs="Times New Roman" w:ascii="Times New Roman" w:hAnsi="Times New Roman"/>
          <w:bCs/>
        </w:rPr>
        <w:t xml:space="preserve">để giải quyết.                                          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Trường hợp bị can vi phạm nghĩa vụ cam đoan quy định tại khoản 2 Điều 139 của Luật Tư pháp người chưa thành niên thì bị tạm giam</w:t>
      </w:r>
      <w:r>
        <w:rPr>
          <w:rFonts w:cs="Times New Roman" w:ascii="Times New Roman" w:hAnsi="Times New Roman"/>
        </w:rPr>
        <w:t>./.</w:t>
      </w:r>
    </w:p>
    <w:p>
      <w:pPr>
        <w:pStyle w:val="Normal"/>
        <w:jc w:val="both"/>
        <w:rPr>
          <w:rFonts w:ascii="Times New Roman" w:hAnsi="Times New Roman" w:cs="Times New Roman"/>
          <w:bCs/>
          <w:szCs w:val="28"/>
        </w:rPr>
      </w:pPr>
      <w:r>
        <w:rPr>
          <w:rFonts w:cs="Times New Roman" w:ascii="Times New Roman" w:hAnsi="Times New Roman"/>
          <w:bCs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đại diện của bị can;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{{recipients.personLine14}}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Quyết định này áp dụng từ 01/01/2028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họ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tên người </w:t>
      </w:r>
      <w:r>
        <w:rPr>
          <w:rFonts w:cs="Times New Roman" w:ascii="Times New Roman" w:hAnsi="Times New Roman"/>
          <w:lang w:val="en-US"/>
        </w:rPr>
        <w:t>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bCs/>
        </w:rPr>
        <w:t>Ủy ban nhân dân</w:t>
      </w:r>
      <w:r>
        <w:rPr>
          <w:rFonts w:cs="Times New Roman" w:ascii="Times New Roman" w:hAnsi="Times New Roman"/>
          <w:bCs/>
          <w:lang w:val="en-US"/>
        </w:rPr>
        <w:t xml:space="preserve"> cấp xã</w:t>
      </w:r>
      <w:r>
        <w:rPr>
          <w:rFonts w:cs="Times New Roman" w:ascii="Times New Roman" w:hAnsi="Times New Roman"/>
          <w:bCs/>
        </w:rPr>
        <w:t xml:space="preserve"> nơi </w:t>
      </w:r>
      <w:r>
        <w:rPr>
          <w:rFonts w:cs="Times New Roman" w:ascii="Times New Roman" w:hAnsi="Times New Roman"/>
        </w:rPr>
        <w:t>bị can</w:t>
      </w:r>
      <w:r>
        <w:rPr>
          <w:rFonts w:cs="Times New Roman" w:ascii="Times New Roman" w:hAnsi="Times New Roman"/>
          <w:bCs/>
        </w:rPr>
        <w:t xml:space="preserve"> cư trú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tên, chức danh người được phân công giải quyết vụ án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2025-08-12T05:15:00Z</dcterms:created>
  <dc:creator>PC</dc:creator>
  <dc:description/>
  <cp:keywords/>
  <dc:language>en-GB</dc:language>
  <cp:lastModifiedBy>PC</cp:lastModifiedBy>
  <dcterms:modified xsi:type="dcterms:W3CDTF">2026-01-30T18:45:00Z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